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59" w:rsidRDefault="00C23D5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070AB6" w:rsidRDefault="00A035C7" w:rsidP="00070AB6">
      <w:pPr>
        <w:pStyle w:val="Intestazione"/>
        <w:jc w:val="center"/>
        <w:rPr>
          <w:b/>
          <w:sz w:val="28"/>
          <w:szCs w:val="28"/>
        </w:rPr>
      </w:pPr>
      <w:r>
        <w:rPr>
          <w:rFonts w:ascii="Baskerville Old Face" w:eastAsia="Times New Roman" w:hAnsi="Baskerville Old Face" w:cs="Times New Roman"/>
          <w:b/>
          <w:bCs/>
          <w:i/>
          <w:iCs/>
          <w:noProof/>
          <w:color w:val="000000"/>
          <w:kern w:val="28"/>
          <w:sz w:val="28"/>
          <w:szCs w:val="28"/>
          <w:lang w:eastAsia="it-IT"/>
        </w:rPr>
        <w:drawing>
          <wp:inline distT="0" distB="0" distL="0" distR="0">
            <wp:extent cx="2638425" cy="1524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5C7" w:rsidRDefault="00A035C7" w:rsidP="00070AB6">
      <w:pPr>
        <w:pStyle w:val="Intestazione"/>
        <w:jc w:val="center"/>
        <w:rPr>
          <w:b/>
          <w:sz w:val="28"/>
          <w:szCs w:val="28"/>
        </w:rPr>
      </w:pPr>
    </w:p>
    <w:p w:rsidR="00A035C7" w:rsidRDefault="00A035C7" w:rsidP="00070AB6">
      <w:pPr>
        <w:pStyle w:val="Intestazione"/>
        <w:jc w:val="center"/>
        <w:rPr>
          <w:b/>
          <w:sz w:val="28"/>
          <w:szCs w:val="28"/>
        </w:rPr>
      </w:pPr>
    </w:p>
    <w:p w:rsidR="00070AB6" w:rsidRDefault="00070AB6" w:rsidP="00070AB6">
      <w:pPr>
        <w:pStyle w:val="Intestazione"/>
        <w:jc w:val="center"/>
        <w:rPr>
          <w:b/>
          <w:sz w:val="28"/>
          <w:szCs w:val="28"/>
        </w:rPr>
      </w:pPr>
    </w:p>
    <w:p w:rsidR="00C23D59" w:rsidRDefault="00C23D59" w:rsidP="00070AB6">
      <w:pPr>
        <w:pStyle w:val="Intestazione"/>
        <w:jc w:val="center"/>
        <w:rPr>
          <w:rFonts w:ascii="Arial Black" w:hAnsi="Arial Black"/>
          <w:b/>
          <w:color w:val="333366"/>
          <w:sz w:val="18"/>
          <w:szCs w:val="18"/>
        </w:rPr>
      </w:pPr>
      <w:r>
        <w:rPr>
          <w:rFonts w:ascii="Arial Black" w:hAnsi="Arial Black"/>
          <w:b/>
          <w:noProof/>
          <w:color w:val="333366"/>
          <w:sz w:val="18"/>
          <w:szCs w:val="18"/>
          <w:lang w:eastAsia="it-IT"/>
        </w:rPr>
        <w:drawing>
          <wp:inline distT="0" distB="0" distL="0" distR="0">
            <wp:extent cx="1189265" cy="525780"/>
            <wp:effectExtent l="19050" t="0" r="0" b="0"/>
            <wp:docPr id="8" name="Immagine 1" descr="CONFAO BLU SU BIAN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NFAO BLU SU BIANC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65" cy="531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D59" w:rsidRDefault="00C23D59" w:rsidP="00070AB6">
      <w:pPr>
        <w:spacing w:after="0" w:line="240" w:lineRule="auto"/>
        <w:jc w:val="center"/>
        <w:rPr>
          <w:b/>
          <w:sz w:val="28"/>
          <w:szCs w:val="28"/>
        </w:rPr>
      </w:pPr>
      <w:r w:rsidRPr="002169E0">
        <w:rPr>
          <w:rFonts w:ascii="Arial Black" w:hAnsi="Arial Black"/>
          <w:b/>
          <w:color w:val="333366"/>
          <w:sz w:val="18"/>
          <w:szCs w:val="18"/>
          <w:lang w:eastAsia="it-IT"/>
        </w:rPr>
        <w:t>Per l’innovazione formativa</w:t>
      </w:r>
    </w:p>
    <w:p w:rsidR="00C23D59" w:rsidRDefault="00C23D5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C23D59" w:rsidRDefault="00C23D5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C23D59" w:rsidRDefault="00C23D5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C23D59" w:rsidRDefault="00C23D5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C23D59" w:rsidRDefault="00C23D5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C23D59" w:rsidRPr="00C23D59" w:rsidRDefault="00C23D59" w:rsidP="00C23D59">
      <w:pPr>
        <w:spacing w:after="0" w:line="240" w:lineRule="auto"/>
        <w:jc w:val="center"/>
        <w:rPr>
          <w:b/>
          <w:color w:val="17365D" w:themeColor="text2" w:themeShade="BF"/>
          <w:sz w:val="44"/>
          <w:szCs w:val="44"/>
        </w:rPr>
      </w:pPr>
      <w:r w:rsidRPr="00C23D59">
        <w:rPr>
          <w:b/>
          <w:color w:val="17365D" w:themeColor="text2" w:themeShade="BF"/>
          <w:sz w:val="44"/>
          <w:szCs w:val="44"/>
        </w:rPr>
        <w:t>Seminario</w:t>
      </w:r>
    </w:p>
    <w:p w:rsidR="00C23D59" w:rsidRDefault="00C23D59" w:rsidP="00C23D59">
      <w:pPr>
        <w:spacing w:after="0" w:line="240" w:lineRule="auto"/>
        <w:jc w:val="center"/>
        <w:rPr>
          <w:b/>
          <w:color w:val="17365D" w:themeColor="text2" w:themeShade="BF"/>
          <w:sz w:val="52"/>
          <w:szCs w:val="52"/>
        </w:rPr>
      </w:pPr>
    </w:p>
    <w:p w:rsidR="00C23D59" w:rsidRPr="00C23D59" w:rsidRDefault="00C23D59" w:rsidP="00C23D59">
      <w:pPr>
        <w:spacing w:after="0" w:line="240" w:lineRule="auto"/>
        <w:jc w:val="center"/>
        <w:rPr>
          <w:b/>
          <w:color w:val="17365D" w:themeColor="text2" w:themeShade="BF"/>
          <w:sz w:val="52"/>
          <w:szCs w:val="52"/>
        </w:rPr>
      </w:pPr>
      <w:r w:rsidRPr="00C23D59">
        <w:rPr>
          <w:b/>
          <w:color w:val="17365D" w:themeColor="text2" w:themeShade="BF"/>
          <w:sz w:val="52"/>
          <w:szCs w:val="52"/>
        </w:rPr>
        <w:t>“L’</w:t>
      </w:r>
      <w:r w:rsidR="009A5CDF">
        <w:rPr>
          <w:b/>
          <w:color w:val="17365D" w:themeColor="text2" w:themeShade="BF"/>
          <w:sz w:val="52"/>
          <w:szCs w:val="52"/>
        </w:rPr>
        <w:t>alternanza e la simulazione d’impresa</w:t>
      </w:r>
      <w:r w:rsidRPr="00C23D59">
        <w:rPr>
          <w:b/>
          <w:color w:val="17365D" w:themeColor="text2" w:themeShade="BF"/>
          <w:sz w:val="52"/>
          <w:szCs w:val="52"/>
        </w:rPr>
        <w:t>”</w:t>
      </w:r>
    </w:p>
    <w:p w:rsidR="00C23D59" w:rsidRDefault="00C23D59" w:rsidP="00C23D59">
      <w:pPr>
        <w:spacing w:after="0" w:line="240" w:lineRule="auto"/>
        <w:jc w:val="center"/>
        <w:rPr>
          <w:sz w:val="24"/>
          <w:szCs w:val="24"/>
        </w:rPr>
      </w:pPr>
    </w:p>
    <w:p w:rsidR="00C23D59" w:rsidRDefault="00C23D59" w:rsidP="00C23D59">
      <w:pPr>
        <w:spacing w:after="0" w:line="240" w:lineRule="auto"/>
        <w:jc w:val="center"/>
        <w:rPr>
          <w:sz w:val="24"/>
          <w:szCs w:val="24"/>
        </w:rPr>
      </w:pPr>
    </w:p>
    <w:p w:rsidR="00C23D59" w:rsidRDefault="00C23D59" w:rsidP="00C23D59">
      <w:pPr>
        <w:spacing w:after="0" w:line="240" w:lineRule="auto"/>
        <w:jc w:val="center"/>
        <w:rPr>
          <w:sz w:val="24"/>
          <w:szCs w:val="24"/>
        </w:rPr>
      </w:pPr>
    </w:p>
    <w:p w:rsidR="00C23D59" w:rsidRPr="00C23D59" w:rsidRDefault="009A5CDF" w:rsidP="00C23D59">
      <w:pPr>
        <w:spacing w:after="0" w:line="240" w:lineRule="auto"/>
        <w:jc w:val="center"/>
        <w:rPr>
          <w:color w:val="17365D" w:themeColor="text2" w:themeShade="BF"/>
          <w:sz w:val="24"/>
          <w:szCs w:val="24"/>
        </w:rPr>
      </w:pPr>
      <w:r>
        <w:rPr>
          <w:color w:val="17365D" w:themeColor="text2" w:themeShade="BF"/>
          <w:sz w:val="24"/>
          <w:szCs w:val="24"/>
        </w:rPr>
        <w:t>Napoli</w:t>
      </w:r>
      <w:r w:rsidR="00070AB6">
        <w:rPr>
          <w:color w:val="17365D" w:themeColor="text2" w:themeShade="BF"/>
          <w:sz w:val="24"/>
          <w:szCs w:val="24"/>
        </w:rPr>
        <w:t>,</w:t>
      </w:r>
      <w:r w:rsidR="00C23D59" w:rsidRPr="00C23D59">
        <w:rPr>
          <w:color w:val="17365D" w:themeColor="text2" w:themeShade="BF"/>
          <w:sz w:val="24"/>
          <w:szCs w:val="24"/>
        </w:rPr>
        <w:t xml:space="preserve"> </w:t>
      </w:r>
      <w:r>
        <w:rPr>
          <w:color w:val="17365D" w:themeColor="text2" w:themeShade="BF"/>
          <w:sz w:val="24"/>
          <w:szCs w:val="24"/>
        </w:rPr>
        <w:t>24 maggio</w:t>
      </w:r>
      <w:r w:rsidR="00C23D59" w:rsidRPr="00C23D59">
        <w:rPr>
          <w:color w:val="17365D" w:themeColor="text2" w:themeShade="BF"/>
          <w:sz w:val="24"/>
          <w:szCs w:val="24"/>
        </w:rPr>
        <w:t xml:space="preserve"> 2017</w:t>
      </w:r>
    </w:p>
    <w:p w:rsidR="00C23D59" w:rsidRPr="00C23D59" w:rsidRDefault="00C23D59" w:rsidP="00C23D59">
      <w:pPr>
        <w:spacing w:after="0" w:line="240" w:lineRule="auto"/>
        <w:jc w:val="center"/>
        <w:rPr>
          <w:color w:val="17365D" w:themeColor="text2" w:themeShade="BF"/>
          <w:sz w:val="24"/>
          <w:szCs w:val="24"/>
        </w:rPr>
      </w:pPr>
      <w:r>
        <w:rPr>
          <w:color w:val="17365D" w:themeColor="text2" w:themeShade="BF"/>
          <w:sz w:val="24"/>
          <w:szCs w:val="24"/>
        </w:rPr>
        <w:t xml:space="preserve">c/o </w:t>
      </w:r>
      <w:r w:rsidRPr="00C23D59">
        <w:rPr>
          <w:color w:val="17365D" w:themeColor="text2" w:themeShade="BF"/>
          <w:sz w:val="24"/>
          <w:szCs w:val="24"/>
        </w:rPr>
        <w:t xml:space="preserve">ITIS </w:t>
      </w:r>
      <w:r w:rsidR="009A5CDF">
        <w:rPr>
          <w:color w:val="17365D" w:themeColor="text2" w:themeShade="BF"/>
          <w:sz w:val="24"/>
          <w:szCs w:val="24"/>
        </w:rPr>
        <w:t>Righi – Viale J.F. Kennedy n. 112</w:t>
      </w:r>
    </w:p>
    <w:p w:rsidR="00C23D59" w:rsidRPr="00C23D59" w:rsidRDefault="00C23D59" w:rsidP="00C23D59">
      <w:pPr>
        <w:spacing w:after="0" w:line="240" w:lineRule="auto"/>
        <w:jc w:val="center"/>
        <w:rPr>
          <w:color w:val="17365D" w:themeColor="text2" w:themeShade="BF"/>
          <w:sz w:val="24"/>
          <w:szCs w:val="24"/>
        </w:rPr>
      </w:pPr>
      <w:r w:rsidRPr="00C23D59">
        <w:rPr>
          <w:color w:val="17365D" w:themeColor="text2" w:themeShade="BF"/>
          <w:sz w:val="24"/>
          <w:szCs w:val="24"/>
        </w:rPr>
        <w:t>Ore 9.30 – 1</w:t>
      </w:r>
      <w:r w:rsidR="009A5CDF">
        <w:rPr>
          <w:color w:val="17365D" w:themeColor="text2" w:themeShade="BF"/>
          <w:sz w:val="24"/>
          <w:szCs w:val="24"/>
        </w:rPr>
        <w:t>3</w:t>
      </w:r>
      <w:r w:rsidRPr="00C23D59">
        <w:rPr>
          <w:color w:val="17365D" w:themeColor="text2" w:themeShade="BF"/>
          <w:sz w:val="24"/>
          <w:szCs w:val="24"/>
        </w:rPr>
        <w:t>.30</w:t>
      </w:r>
    </w:p>
    <w:p w:rsidR="00C23D59" w:rsidRDefault="00C23D59" w:rsidP="00B86F65">
      <w:pPr>
        <w:spacing w:after="0" w:line="240" w:lineRule="auto"/>
        <w:jc w:val="center"/>
        <w:rPr>
          <w:b/>
          <w:color w:val="17365D" w:themeColor="text2" w:themeShade="BF"/>
          <w:sz w:val="28"/>
          <w:szCs w:val="28"/>
        </w:rPr>
      </w:pPr>
    </w:p>
    <w:p w:rsidR="000C4B81" w:rsidRDefault="000C4B81" w:rsidP="00B86F65">
      <w:pPr>
        <w:spacing w:after="0" w:line="240" w:lineRule="auto"/>
        <w:jc w:val="center"/>
        <w:rPr>
          <w:b/>
          <w:color w:val="17365D" w:themeColor="text2" w:themeShade="BF"/>
          <w:sz w:val="28"/>
          <w:szCs w:val="28"/>
        </w:rPr>
      </w:pPr>
    </w:p>
    <w:p w:rsidR="00C23D59" w:rsidRDefault="000C4B81" w:rsidP="00B86F65">
      <w:pPr>
        <w:spacing w:after="0" w:line="240" w:lineRule="auto"/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noProof/>
          <w:color w:val="17365D" w:themeColor="text2" w:themeShade="BF"/>
          <w:sz w:val="28"/>
          <w:szCs w:val="28"/>
          <w:lang w:eastAsia="it-IT"/>
        </w:rPr>
        <w:drawing>
          <wp:inline distT="0" distB="0" distL="0" distR="0">
            <wp:extent cx="5414010" cy="1684020"/>
            <wp:effectExtent l="19050" t="0" r="0" b="0"/>
            <wp:docPr id="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855" cy="1689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D59" w:rsidRDefault="00C23D5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2957D9" w:rsidRDefault="002957D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C23D59" w:rsidRDefault="00C23D5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C23D59" w:rsidRDefault="00C23D59" w:rsidP="00B86F65">
      <w:pPr>
        <w:spacing w:after="0" w:line="240" w:lineRule="auto"/>
        <w:jc w:val="center"/>
        <w:rPr>
          <w:b/>
          <w:sz w:val="28"/>
          <w:szCs w:val="28"/>
        </w:rPr>
        <w:sectPr w:rsidR="00C23D59" w:rsidSect="00070AB6">
          <w:footerReference w:type="default" r:id="rId12"/>
          <w:pgSz w:w="11906" w:h="16838"/>
          <w:pgMar w:top="993" w:right="707" w:bottom="993" w:left="567" w:header="708" w:footer="708" w:gutter="0"/>
          <w:cols w:space="708"/>
          <w:docGrid w:linePitch="360"/>
        </w:sectPr>
      </w:pPr>
    </w:p>
    <w:p w:rsidR="000C4B81" w:rsidRDefault="000C4B81" w:rsidP="000C4B81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lastRenderedPageBreak/>
        <w:drawing>
          <wp:inline distT="0" distB="0" distL="0" distR="0">
            <wp:extent cx="5055870" cy="1287780"/>
            <wp:effectExtent l="19050" t="0" r="0" b="0"/>
            <wp:docPr id="1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960" cy="129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B81" w:rsidRDefault="000C4B81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2550E1" w:rsidRDefault="002550E1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2550E1" w:rsidRDefault="002550E1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0C4B81" w:rsidRDefault="000C4B81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0C4B81" w:rsidRPr="002957D9" w:rsidRDefault="000C4B81" w:rsidP="000C4B81">
      <w:pPr>
        <w:spacing w:after="0" w:line="240" w:lineRule="auto"/>
        <w:jc w:val="both"/>
        <w:rPr>
          <w:b/>
          <w:color w:val="17365D" w:themeColor="text2" w:themeShade="BF"/>
          <w:sz w:val="28"/>
          <w:szCs w:val="28"/>
        </w:rPr>
      </w:pPr>
    </w:p>
    <w:p w:rsidR="000C4B81" w:rsidRDefault="003F6E71" w:rsidP="002550E1">
      <w:pPr>
        <w:spacing w:after="0" w:line="240" w:lineRule="auto"/>
        <w:jc w:val="both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La costante crescita dell’esperienza dell’Impresa </w:t>
      </w:r>
      <w:r w:rsidR="001B3A3E">
        <w:rPr>
          <w:b/>
          <w:color w:val="17365D" w:themeColor="text2" w:themeShade="BF"/>
          <w:sz w:val="28"/>
          <w:szCs w:val="28"/>
        </w:rPr>
        <w:t xml:space="preserve">Formativa Simulata, registrata negli ultimi tempi nelle Istituzioni </w:t>
      </w:r>
      <w:r w:rsidR="002550E1">
        <w:rPr>
          <w:b/>
          <w:color w:val="17365D" w:themeColor="text2" w:themeShade="BF"/>
          <w:sz w:val="28"/>
          <w:szCs w:val="28"/>
        </w:rPr>
        <w:t xml:space="preserve">scolastiche della Campania ed accompagnata anche dall’emergere di </w:t>
      </w:r>
      <w:proofErr w:type="spellStart"/>
      <w:r w:rsidR="002550E1">
        <w:rPr>
          <w:b/>
          <w:color w:val="17365D" w:themeColor="text2" w:themeShade="BF"/>
          <w:sz w:val="28"/>
          <w:szCs w:val="28"/>
        </w:rPr>
        <w:t>good</w:t>
      </w:r>
      <w:proofErr w:type="spellEnd"/>
      <w:r w:rsidR="002550E1">
        <w:rPr>
          <w:b/>
          <w:color w:val="17365D" w:themeColor="text2" w:themeShade="BF"/>
          <w:sz w:val="28"/>
          <w:szCs w:val="28"/>
        </w:rPr>
        <w:t xml:space="preserve"> </w:t>
      </w:r>
      <w:proofErr w:type="spellStart"/>
      <w:r w:rsidR="002550E1">
        <w:rPr>
          <w:b/>
          <w:color w:val="17365D" w:themeColor="text2" w:themeShade="BF"/>
          <w:sz w:val="28"/>
          <w:szCs w:val="28"/>
        </w:rPr>
        <w:t>practices</w:t>
      </w:r>
      <w:proofErr w:type="spellEnd"/>
      <w:r w:rsidR="002550E1">
        <w:rPr>
          <w:b/>
          <w:color w:val="17365D" w:themeColor="text2" w:themeShade="BF"/>
          <w:sz w:val="28"/>
          <w:szCs w:val="28"/>
        </w:rPr>
        <w:t>, costituisce un indicatore di rilievo dell’apertura ai processi di innovazione, che trovano nell’alternanza simulata, nella metodologia e nei contenuti che essa sviluppa, un forte elemento di traino del cambiamento.</w:t>
      </w:r>
    </w:p>
    <w:p w:rsidR="002550E1" w:rsidRDefault="002550E1" w:rsidP="002550E1">
      <w:pPr>
        <w:spacing w:after="0" w:line="240" w:lineRule="auto"/>
        <w:jc w:val="both"/>
        <w:rPr>
          <w:b/>
          <w:color w:val="17365D" w:themeColor="text2" w:themeShade="BF"/>
          <w:sz w:val="28"/>
          <w:szCs w:val="28"/>
        </w:rPr>
      </w:pPr>
    </w:p>
    <w:p w:rsidR="002550E1" w:rsidRDefault="002550E1" w:rsidP="002550E1">
      <w:pPr>
        <w:spacing w:after="0" w:line="240" w:lineRule="auto"/>
        <w:jc w:val="both"/>
        <w:rPr>
          <w:b/>
          <w:color w:val="17365D" w:themeColor="text2" w:themeShade="BF"/>
          <w:sz w:val="28"/>
          <w:szCs w:val="28"/>
        </w:rPr>
      </w:pPr>
    </w:p>
    <w:p w:rsidR="002550E1" w:rsidRPr="002957D9" w:rsidRDefault="002550E1" w:rsidP="002550E1">
      <w:pPr>
        <w:spacing w:after="0" w:line="240" w:lineRule="auto"/>
        <w:jc w:val="both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Questo incontro vuole fare il punto sull’evoluzione in atto di questa esperienza, sugli ulteriori sviluppi quantitativi e qualitativi che l’IFS potrà registrare, sul ruolo  che essa potrà sviluppare per una maggiore </w:t>
      </w:r>
      <w:proofErr w:type="spellStart"/>
      <w:r>
        <w:rPr>
          <w:b/>
          <w:color w:val="17365D" w:themeColor="text2" w:themeShade="BF"/>
          <w:sz w:val="28"/>
          <w:szCs w:val="28"/>
        </w:rPr>
        <w:t>attraenza</w:t>
      </w:r>
      <w:proofErr w:type="spellEnd"/>
      <w:r>
        <w:rPr>
          <w:b/>
          <w:color w:val="17365D" w:themeColor="text2" w:themeShade="BF"/>
          <w:sz w:val="28"/>
          <w:szCs w:val="28"/>
        </w:rPr>
        <w:t xml:space="preserve"> dell’apprendimento da parte degli studenti.</w:t>
      </w:r>
    </w:p>
    <w:p w:rsidR="000C4B81" w:rsidRPr="002957D9" w:rsidRDefault="000C4B81" w:rsidP="000C4B81">
      <w:pPr>
        <w:spacing w:after="0" w:line="240" w:lineRule="auto"/>
        <w:jc w:val="center"/>
        <w:rPr>
          <w:b/>
          <w:color w:val="17365D" w:themeColor="text2" w:themeShade="BF"/>
          <w:sz w:val="28"/>
          <w:szCs w:val="28"/>
        </w:rPr>
      </w:pPr>
    </w:p>
    <w:p w:rsidR="000C4B81" w:rsidRPr="002957D9" w:rsidRDefault="000C4B81" w:rsidP="000C4B81">
      <w:pPr>
        <w:spacing w:after="0" w:line="240" w:lineRule="auto"/>
        <w:jc w:val="center"/>
        <w:rPr>
          <w:b/>
          <w:color w:val="17365D" w:themeColor="text2" w:themeShade="BF"/>
          <w:sz w:val="28"/>
          <w:szCs w:val="28"/>
        </w:rPr>
      </w:pPr>
    </w:p>
    <w:p w:rsidR="002957D9" w:rsidRDefault="002957D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2550E1" w:rsidRDefault="002550E1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2550E1" w:rsidRDefault="002550E1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2550E1" w:rsidRDefault="002550E1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2957D9" w:rsidRDefault="002957D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0C4B81" w:rsidRDefault="000C4B81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0C4B81" w:rsidRDefault="002957D9" w:rsidP="00B86F6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>
            <wp:extent cx="4086945" cy="2270760"/>
            <wp:effectExtent l="19050" t="0" r="8805" b="0"/>
            <wp:docPr id="15" name="Immagine 14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9235" cy="227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B81" w:rsidRDefault="000C4B81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0C4B81" w:rsidRDefault="000C4B8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C4B81" w:rsidRDefault="00A035C7" w:rsidP="002957D9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lastRenderedPageBreak/>
        <w:drawing>
          <wp:inline distT="0" distB="0" distL="0" distR="0">
            <wp:extent cx="6296025" cy="12763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7D9" w:rsidRDefault="002957D9" w:rsidP="00B86F65">
      <w:pPr>
        <w:spacing w:after="0" w:line="240" w:lineRule="auto"/>
        <w:jc w:val="center"/>
        <w:rPr>
          <w:b/>
          <w:sz w:val="28"/>
          <w:szCs w:val="28"/>
        </w:rPr>
      </w:pPr>
    </w:p>
    <w:p w:rsidR="002957D9" w:rsidRPr="008A3F9B" w:rsidRDefault="002957D9" w:rsidP="002957D9">
      <w:pPr>
        <w:spacing w:after="0" w:line="240" w:lineRule="auto"/>
        <w:jc w:val="center"/>
        <w:rPr>
          <w:sz w:val="16"/>
          <w:szCs w:val="16"/>
        </w:rPr>
      </w:pPr>
    </w:p>
    <w:p w:rsidR="002550E1" w:rsidRPr="00F51F56" w:rsidRDefault="002550E1" w:rsidP="002550E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Seminario</w:t>
      </w:r>
    </w:p>
    <w:p w:rsidR="002550E1" w:rsidRPr="00F51F56" w:rsidRDefault="002550E1" w:rsidP="002550E1">
      <w:pPr>
        <w:spacing w:after="0" w:line="240" w:lineRule="auto"/>
        <w:jc w:val="center"/>
        <w:rPr>
          <w:b/>
          <w:sz w:val="28"/>
          <w:szCs w:val="28"/>
        </w:rPr>
      </w:pPr>
      <w:r w:rsidRPr="00F51F56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L’alternanza e la simulazione d’impresa</w:t>
      </w:r>
      <w:r w:rsidRPr="00F51F56">
        <w:rPr>
          <w:b/>
          <w:sz w:val="28"/>
          <w:szCs w:val="28"/>
        </w:rPr>
        <w:t>”</w:t>
      </w:r>
    </w:p>
    <w:p w:rsidR="002550E1" w:rsidRPr="000F2C97" w:rsidRDefault="002550E1" w:rsidP="002550E1">
      <w:pPr>
        <w:spacing w:after="0" w:line="240" w:lineRule="auto"/>
        <w:jc w:val="center"/>
        <w:rPr>
          <w:sz w:val="24"/>
          <w:szCs w:val="24"/>
        </w:rPr>
      </w:pPr>
      <w:r w:rsidRPr="000F2C97">
        <w:rPr>
          <w:sz w:val="24"/>
          <w:szCs w:val="24"/>
        </w:rPr>
        <w:t>Napoli 24 maggio 2017</w:t>
      </w:r>
    </w:p>
    <w:p w:rsidR="002550E1" w:rsidRPr="002550E1" w:rsidRDefault="002550E1" w:rsidP="002550E1">
      <w:pPr>
        <w:spacing w:after="0" w:line="240" w:lineRule="auto"/>
        <w:jc w:val="center"/>
        <w:rPr>
          <w:sz w:val="24"/>
          <w:szCs w:val="24"/>
        </w:rPr>
      </w:pPr>
      <w:r w:rsidRPr="002550E1">
        <w:rPr>
          <w:sz w:val="24"/>
          <w:szCs w:val="24"/>
        </w:rPr>
        <w:t>ITIS Righi - Viale J.F. Kennedy n. 112</w:t>
      </w:r>
    </w:p>
    <w:p w:rsidR="002550E1" w:rsidRDefault="002550E1" w:rsidP="002550E1">
      <w:pPr>
        <w:spacing w:after="0" w:line="240" w:lineRule="auto"/>
        <w:jc w:val="center"/>
        <w:rPr>
          <w:sz w:val="24"/>
          <w:szCs w:val="24"/>
        </w:rPr>
      </w:pPr>
      <w:r w:rsidRPr="000F2C97">
        <w:rPr>
          <w:sz w:val="24"/>
          <w:szCs w:val="24"/>
        </w:rPr>
        <w:t>Ore 9.30 – 13.30</w:t>
      </w:r>
    </w:p>
    <w:p w:rsidR="002550E1" w:rsidRPr="000F2C97" w:rsidRDefault="002550E1" w:rsidP="002550E1">
      <w:pPr>
        <w:spacing w:after="0" w:line="240" w:lineRule="auto"/>
        <w:jc w:val="center"/>
        <w:rPr>
          <w:sz w:val="24"/>
          <w:szCs w:val="24"/>
        </w:rPr>
      </w:pPr>
    </w:p>
    <w:p w:rsidR="002550E1" w:rsidRPr="000F2C97" w:rsidRDefault="002550E1" w:rsidP="002550E1">
      <w:pPr>
        <w:spacing w:after="0" w:line="240" w:lineRule="auto"/>
        <w:jc w:val="center"/>
        <w:rPr>
          <w:sz w:val="24"/>
          <w:szCs w:val="24"/>
        </w:rPr>
      </w:pPr>
    </w:p>
    <w:p w:rsidR="002550E1" w:rsidRDefault="002550E1" w:rsidP="002550E1">
      <w:pPr>
        <w:spacing w:after="0"/>
        <w:rPr>
          <w:b/>
          <w:sz w:val="24"/>
          <w:szCs w:val="24"/>
        </w:rPr>
      </w:pPr>
      <w:r w:rsidRPr="000F2C97">
        <w:rPr>
          <w:b/>
          <w:sz w:val="24"/>
          <w:szCs w:val="24"/>
        </w:rPr>
        <w:t>Ore 9.30 registrazione dei partecipanti</w:t>
      </w:r>
    </w:p>
    <w:p w:rsidR="002550E1" w:rsidRPr="000F2C97" w:rsidRDefault="002550E1" w:rsidP="002550E1">
      <w:pPr>
        <w:spacing w:after="0"/>
        <w:rPr>
          <w:b/>
          <w:sz w:val="24"/>
          <w:szCs w:val="24"/>
        </w:rPr>
      </w:pPr>
    </w:p>
    <w:p w:rsidR="002550E1" w:rsidRPr="000F2C97" w:rsidRDefault="002550E1" w:rsidP="002550E1">
      <w:pPr>
        <w:spacing w:after="0"/>
        <w:rPr>
          <w:b/>
          <w:sz w:val="24"/>
          <w:szCs w:val="24"/>
        </w:rPr>
      </w:pPr>
      <w:r w:rsidRPr="000F2C97">
        <w:rPr>
          <w:b/>
          <w:sz w:val="24"/>
          <w:szCs w:val="24"/>
        </w:rPr>
        <w:t>Ore 10.00 inizio dei lavori</w:t>
      </w:r>
    </w:p>
    <w:p w:rsidR="002550E1" w:rsidRDefault="002550E1" w:rsidP="002550E1">
      <w:pPr>
        <w:spacing w:after="0"/>
        <w:ind w:firstLine="709"/>
      </w:pPr>
      <w:r w:rsidRPr="000F2C97">
        <w:t xml:space="preserve">Saluto del </w:t>
      </w:r>
      <w:r w:rsidRPr="000F2C97">
        <w:rPr>
          <w:b/>
        </w:rPr>
        <w:t>DS ITIS  “Righi”</w:t>
      </w:r>
      <w:r w:rsidR="0020636E">
        <w:rPr>
          <w:b/>
        </w:rPr>
        <w:t xml:space="preserve"> Napoli</w:t>
      </w:r>
      <w:r w:rsidRPr="000F2C97">
        <w:rPr>
          <w:b/>
        </w:rPr>
        <w:t>, Vittoria Rinaldi</w:t>
      </w:r>
    </w:p>
    <w:p w:rsidR="002550E1" w:rsidRDefault="002550E1" w:rsidP="002550E1">
      <w:pPr>
        <w:spacing w:after="0"/>
        <w:ind w:firstLine="709"/>
        <w:rPr>
          <w:b/>
        </w:rPr>
      </w:pPr>
      <w:r>
        <w:t xml:space="preserve">Intervento di apertura di </w:t>
      </w:r>
      <w:r w:rsidRPr="00611DB1">
        <w:rPr>
          <w:b/>
        </w:rPr>
        <w:t>Luisa</w:t>
      </w:r>
      <w:r>
        <w:t xml:space="preserve"> </w:t>
      </w:r>
      <w:r>
        <w:rPr>
          <w:b/>
        </w:rPr>
        <w:t xml:space="preserve">Franzese, </w:t>
      </w:r>
      <w:r w:rsidRPr="00F51F56">
        <w:rPr>
          <w:b/>
        </w:rPr>
        <w:t xml:space="preserve">DG USR </w:t>
      </w:r>
      <w:r>
        <w:rPr>
          <w:b/>
        </w:rPr>
        <w:t>Campania</w:t>
      </w:r>
    </w:p>
    <w:p w:rsidR="002550E1" w:rsidRDefault="002550E1" w:rsidP="002550E1">
      <w:pPr>
        <w:spacing w:after="0"/>
        <w:ind w:firstLine="709"/>
        <w:rPr>
          <w:b/>
        </w:rPr>
      </w:pPr>
    </w:p>
    <w:p w:rsidR="002550E1" w:rsidRPr="006A04EB" w:rsidRDefault="002550E1" w:rsidP="002550E1">
      <w:pPr>
        <w:pStyle w:val="Paragrafoelenco"/>
        <w:numPr>
          <w:ilvl w:val="0"/>
          <w:numId w:val="1"/>
        </w:numPr>
        <w:rPr>
          <w:b/>
        </w:rPr>
      </w:pPr>
      <w:r w:rsidRPr="006A04EB">
        <w:rPr>
          <w:b/>
        </w:rPr>
        <w:t>L</w:t>
      </w:r>
      <w:r>
        <w:rPr>
          <w:b/>
        </w:rPr>
        <w:t>’Impresa formativa simulata: il punto sullo sviluppo</w:t>
      </w:r>
    </w:p>
    <w:p w:rsidR="002550E1" w:rsidRPr="0020636E" w:rsidRDefault="002550E1" w:rsidP="002550E1">
      <w:pPr>
        <w:pStyle w:val="Paragrafoelenco"/>
        <w:numPr>
          <w:ilvl w:val="0"/>
          <w:numId w:val="2"/>
        </w:numPr>
      </w:pPr>
      <w:r w:rsidRPr="0020636E">
        <w:rPr>
          <w:b/>
        </w:rPr>
        <w:t xml:space="preserve">Liliana Borrello, </w:t>
      </w:r>
      <w:proofErr w:type="spellStart"/>
      <w:r w:rsidRPr="0020636E">
        <w:rPr>
          <w:b/>
        </w:rPr>
        <w:t>Confao</w:t>
      </w:r>
      <w:proofErr w:type="spellEnd"/>
      <w:r w:rsidRPr="0020636E">
        <w:rPr>
          <w:b/>
        </w:rPr>
        <w:t xml:space="preserve">: </w:t>
      </w:r>
      <w:r w:rsidRPr="0020636E">
        <w:rPr>
          <w:i/>
        </w:rPr>
        <w:t>L’impatto sulla cultura e l’operatività dei giovani</w:t>
      </w:r>
      <w:r w:rsidRPr="0020636E">
        <w:rPr>
          <w:b/>
        </w:rPr>
        <w:t xml:space="preserve"> </w:t>
      </w:r>
    </w:p>
    <w:p w:rsidR="002550E1" w:rsidRPr="0020636E" w:rsidRDefault="003317D6" w:rsidP="002550E1">
      <w:pPr>
        <w:pStyle w:val="Paragrafoelenco"/>
        <w:numPr>
          <w:ilvl w:val="0"/>
          <w:numId w:val="2"/>
        </w:numPr>
        <w:rPr>
          <w:i/>
        </w:rPr>
      </w:pPr>
      <w:r w:rsidRPr="0020636E">
        <w:rPr>
          <w:b/>
        </w:rPr>
        <w:t>Maurizio Riccio</w:t>
      </w:r>
      <w:r w:rsidR="002550E1" w:rsidRPr="0020636E">
        <w:rPr>
          <w:b/>
        </w:rPr>
        <w:t xml:space="preserve">, </w:t>
      </w:r>
      <w:r w:rsidRPr="0020636E">
        <w:rPr>
          <w:b/>
        </w:rPr>
        <w:t>Dirigente</w:t>
      </w:r>
      <w:r w:rsidR="00B02753">
        <w:rPr>
          <w:b/>
        </w:rPr>
        <w:t xml:space="preserve"> t</w:t>
      </w:r>
      <w:r w:rsidRPr="0020636E">
        <w:rPr>
          <w:b/>
        </w:rPr>
        <w:t>ecnico</w:t>
      </w:r>
      <w:bookmarkStart w:id="0" w:name="_GoBack"/>
      <w:bookmarkEnd w:id="0"/>
      <w:r w:rsidRPr="0020636E">
        <w:rPr>
          <w:b/>
        </w:rPr>
        <w:t xml:space="preserve">: </w:t>
      </w:r>
      <w:r w:rsidR="0020636E" w:rsidRPr="0020636E">
        <w:rPr>
          <w:i/>
        </w:rPr>
        <w:t>L’alternanza scuola</w:t>
      </w:r>
      <w:r w:rsidR="00A85DDB">
        <w:rPr>
          <w:i/>
        </w:rPr>
        <w:t>-</w:t>
      </w:r>
      <w:r w:rsidR="0020636E" w:rsidRPr="0020636E">
        <w:rPr>
          <w:i/>
        </w:rPr>
        <w:t>lavoro in Campania</w:t>
      </w:r>
    </w:p>
    <w:p w:rsidR="002550E1" w:rsidRPr="0020636E" w:rsidRDefault="00871491" w:rsidP="002550E1">
      <w:pPr>
        <w:pStyle w:val="Paragrafoelenco"/>
        <w:numPr>
          <w:ilvl w:val="0"/>
          <w:numId w:val="2"/>
        </w:numPr>
        <w:rPr>
          <w:b/>
        </w:rPr>
      </w:pPr>
      <w:r w:rsidRPr="0020636E">
        <w:rPr>
          <w:b/>
        </w:rPr>
        <w:t xml:space="preserve">Fausto Di Niro, Grimaldi Lines: </w:t>
      </w:r>
      <w:r w:rsidRPr="0020636E">
        <w:rPr>
          <w:i/>
        </w:rPr>
        <w:t>Il supporto delle aziende</w:t>
      </w:r>
    </w:p>
    <w:p w:rsidR="002550E1" w:rsidRDefault="002550E1" w:rsidP="002550E1">
      <w:pPr>
        <w:pStyle w:val="Paragrafoelenco"/>
        <w:ind w:left="1080"/>
        <w:rPr>
          <w:i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7654"/>
      </w:tblGrid>
      <w:tr w:rsidR="002550E1" w:rsidTr="00871491">
        <w:tc>
          <w:tcPr>
            <w:tcW w:w="7654" w:type="dxa"/>
          </w:tcPr>
          <w:p w:rsidR="002550E1" w:rsidRDefault="002550E1" w:rsidP="00FF0EE6">
            <w:pPr>
              <w:pStyle w:val="Paragrafoelenco"/>
              <w:rPr>
                <w:i/>
              </w:rPr>
            </w:pPr>
            <w:r w:rsidRPr="00F2169C">
              <w:rPr>
                <w:i/>
              </w:rPr>
              <w:t xml:space="preserve">Due esperienze </w:t>
            </w:r>
            <w:r>
              <w:rPr>
                <w:i/>
              </w:rPr>
              <w:t>significative</w:t>
            </w:r>
          </w:p>
          <w:p w:rsidR="009F7D5C" w:rsidRDefault="009F7D5C" w:rsidP="009F7D5C">
            <w:pPr>
              <w:pStyle w:val="Paragrafoelenco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 xml:space="preserve">Liceo Scientifico </w:t>
            </w:r>
            <w:proofErr w:type="spellStart"/>
            <w:r>
              <w:rPr>
                <w:i/>
              </w:rPr>
              <w:t>Calamandrei</w:t>
            </w:r>
            <w:proofErr w:type="spellEnd"/>
            <w:r>
              <w:rPr>
                <w:i/>
              </w:rPr>
              <w:t xml:space="preserve"> (NA)</w:t>
            </w:r>
          </w:p>
          <w:p w:rsidR="002550E1" w:rsidRPr="00F2169C" w:rsidRDefault="002550E1" w:rsidP="00FF0EE6">
            <w:pPr>
              <w:pStyle w:val="Paragrafoelenco"/>
              <w:numPr>
                <w:ilvl w:val="0"/>
                <w:numId w:val="2"/>
              </w:numPr>
              <w:rPr>
                <w:i/>
              </w:rPr>
            </w:pPr>
            <w:r w:rsidRPr="00F2169C">
              <w:rPr>
                <w:i/>
              </w:rPr>
              <w:t>Liceo Scientifico G. Galilei di Piedimonte Matese (CE)</w:t>
            </w:r>
          </w:p>
          <w:p w:rsidR="002550E1" w:rsidRDefault="002550E1" w:rsidP="00FF0EE6">
            <w:pPr>
              <w:pStyle w:val="Paragrafoelenco"/>
              <w:numPr>
                <w:ilvl w:val="0"/>
                <w:numId w:val="2"/>
              </w:numPr>
              <w:rPr>
                <w:i/>
              </w:rPr>
            </w:pPr>
            <w:r w:rsidRPr="00F2169C">
              <w:rPr>
                <w:i/>
              </w:rPr>
              <w:t>IPSSEOA C. Russo di Cicciano (NA)</w:t>
            </w:r>
          </w:p>
          <w:p w:rsidR="002550E1" w:rsidRDefault="002550E1" w:rsidP="00871491">
            <w:pPr>
              <w:pStyle w:val="Paragrafoelenco"/>
              <w:ind w:left="0"/>
              <w:rPr>
                <w:i/>
              </w:rPr>
            </w:pPr>
            <w:r>
              <w:rPr>
                <w:i/>
              </w:rPr>
              <w:t xml:space="preserve">              </w:t>
            </w:r>
            <w:r w:rsidRPr="00F2169C">
              <w:rPr>
                <w:i/>
              </w:rPr>
              <w:t>Presentano gli studenti ed i tutor aziendali</w:t>
            </w:r>
          </w:p>
        </w:tc>
      </w:tr>
    </w:tbl>
    <w:p w:rsidR="002550E1" w:rsidRDefault="002550E1" w:rsidP="002550E1">
      <w:pPr>
        <w:pStyle w:val="Paragrafoelenco"/>
        <w:ind w:left="1080"/>
        <w:rPr>
          <w:b/>
          <w:i/>
        </w:rPr>
      </w:pPr>
    </w:p>
    <w:p w:rsidR="002550E1" w:rsidRPr="00F2169C" w:rsidRDefault="002550E1" w:rsidP="002550E1">
      <w:pPr>
        <w:pStyle w:val="Paragrafoelenco"/>
        <w:ind w:left="1080"/>
        <w:rPr>
          <w:b/>
          <w:i/>
        </w:rPr>
      </w:pPr>
    </w:p>
    <w:p w:rsidR="002550E1" w:rsidRPr="00EC6B0F" w:rsidRDefault="002550E1" w:rsidP="002550E1">
      <w:pPr>
        <w:pStyle w:val="Paragrafoelenco"/>
        <w:numPr>
          <w:ilvl w:val="0"/>
          <w:numId w:val="1"/>
        </w:numPr>
      </w:pPr>
      <w:r w:rsidRPr="00F2169C">
        <w:rPr>
          <w:b/>
        </w:rPr>
        <w:t>Confronto sull’evoluzione</w:t>
      </w:r>
      <w:r>
        <w:rPr>
          <w:b/>
        </w:rPr>
        <w:t xml:space="preserve"> </w:t>
      </w:r>
    </w:p>
    <w:p w:rsidR="002550E1" w:rsidRDefault="002550E1" w:rsidP="002550E1">
      <w:pPr>
        <w:pStyle w:val="Paragrafoelenco"/>
      </w:pPr>
      <w:r>
        <w:t>Dibattito aperto</w:t>
      </w:r>
    </w:p>
    <w:p w:rsidR="002550E1" w:rsidRDefault="002550E1" w:rsidP="002550E1">
      <w:pPr>
        <w:pStyle w:val="Paragrafoelenco"/>
      </w:pPr>
    </w:p>
    <w:p w:rsidR="002550E1" w:rsidRDefault="002550E1" w:rsidP="002550E1">
      <w:pPr>
        <w:rPr>
          <w:b/>
        </w:rPr>
      </w:pPr>
      <w:r>
        <w:rPr>
          <w:b/>
        </w:rPr>
        <w:t xml:space="preserve">Conclusioni: G. Martinez y </w:t>
      </w:r>
      <w:proofErr w:type="spellStart"/>
      <w:r>
        <w:rPr>
          <w:b/>
        </w:rPr>
        <w:t>Cabrera</w:t>
      </w:r>
      <w:proofErr w:type="spellEnd"/>
    </w:p>
    <w:p w:rsidR="002550E1" w:rsidRPr="00DD0B3D" w:rsidRDefault="00871491" w:rsidP="002550E1">
      <w:pPr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2550E1" w:rsidRPr="00DD0B3D">
        <w:rPr>
          <w:b/>
          <w:sz w:val="24"/>
          <w:szCs w:val="24"/>
        </w:rPr>
        <w:t xml:space="preserve"> lavori</w:t>
      </w:r>
      <w:r w:rsidR="002550E1">
        <w:rPr>
          <w:b/>
          <w:sz w:val="24"/>
          <w:szCs w:val="24"/>
        </w:rPr>
        <w:t xml:space="preserve"> avr</w:t>
      </w:r>
      <w:r>
        <w:rPr>
          <w:b/>
          <w:sz w:val="24"/>
          <w:szCs w:val="24"/>
        </w:rPr>
        <w:t>anno</w:t>
      </w:r>
      <w:r w:rsidR="002550E1">
        <w:rPr>
          <w:b/>
          <w:sz w:val="24"/>
          <w:szCs w:val="24"/>
        </w:rPr>
        <w:t xml:space="preserve"> termine alle ore 13.30.</w:t>
      </w:r>
    </w:p>
    <w:p w:rsidR="00486F0F" w:rsidRDefault="00486F0F" w:rsidP="008A3F9B">
      <w:pPr>
        <w:ind w:left="720"/>
        <w:jc w:val="center"/>
        <w:rPr>
          <w:b/>
          <w:sz w:val="24"/>
          <w:szCs w:val="24"/>
        </w:rPr>
      </w:pPr>
    </w:p>
    <w:p w:rsidR="003F7CE2" w:rsidRDefault="003F7CE2" w:rsidP="008A3F9B">
      <w:pPr>
        <w:ind w:left="720"/>
        <w:jc w:val="center"/>
        <w:rPr>
          <w:b/>
          <w:sz w:val="24"/>
          <w:szCs w:val="24"/>
        </w:rPr>
      </w:pPr>
    </w:p>
    <w:p w:rsidR="003F7CE2" w:rsidRDefault="003F7CE2" w:rsidP="008A3F9B">
      <w:pPr>
        <w:ind w:left="720"/>
        <w:jc w:val="center"/>
        <w:rPr>
          <w:b/>
          <w:sz w:val="24"/>
          <w:szCs w:val="24"/>
        </w:rPr>
      </w:pPr>
    </w:p>
    <w:p w:rsidR="00D14B86" w:rsidRPr="0086438F" w:rsidRDefault="00DA1044" w:rsidP="00D14B86">
      <w:pPr>
        <w:spacing w:after="0" w:line="240" w:lineRule="auto"/>
        <w:jc w:val="center"/>
        <w:rPr>
          <w:b/>
          <w:i/>
          <w:color w:val="17365D" w:themeColor="text2" w:themeShade="BF"/>
        </w:rPr>
      </w:pPr>
      <w:r w:rsidRPr="0086438F">
        <w:rPr>
          <w:b/>
          <w:i/>
          <w:color w:val="17365D" w:themeColor="text2" w:themeShade="BF"/>
        </w:rPr>
        <w:t xml:space="preserve">Ai docenti (per l’aggiornamento) ed agli studenti (per attività di alternanza) </w:t>
      </w:r>
    </w:p>
    <w:p w:rsidR="00AD2587" w:rsidRPr="0086438F" w:rsidRDefault="00DA1044" w:rsidP="00D14B86">
      <w:pPr>
        <w:spacing w:after="0" w:line="240" w:lineRule="auto"/>
        <w:jc w:val="center"/>
        <w:rPr>
          <w:b/>
          <w:i/>
          <w:color w:val="17365D" w:themeColor="text2" w:themeShade="BF"/>
        </w:rPr>
      </w:pPr>
      <w:r w:rsidRPr="0086438F">
        <w:rPr>
          <w:b/>
          <w:i/>
          <w:color w:val="17365D" w:themeColor="text2" w:themeShade="BF"/>
        </w:rPr>
        <w:t>verranno rilasciati attestati di partecipazione</w:t>
      </w:r>
      <w:r w:rsidR="004A2B12" w:rsidRPr="0086438F">
        <w:rPr>
          <w:b/>
          <w:i/>
          <w:color w:val="17365D" w:themeColor="text2" w:themeShade="BF"/>
        </w:rPr>
        <w:t>.</w:t>
      </w:r>
    </w:p>
    <w:p w:rsidR="00070AB6" w:rsidRDefault="00070AB6" w:rsidP="00D14B86">
      <w:pPr>
        <w:spacing w:after="0" w:line="240" w:lineRule="auto"/>
        <w:jc w:val="center"/>
        <w:rPr>
          <w:b/>
          <w:i/>
        </w:rPr>
      </w:pPr>
    </w:p>
    <w:sectPr w:rsidR="00070AB6" w:rsidSect="002957D9">
      <w:footerReference w:type="default" r:id="rId16"/>
      <w:pgSz w:w="11906" w:h="16838"/>
      <w:pgMar w:top="993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C50" w:rsidRDefault="006D1C50" w:rsidP="00391714">
      <w:pPr>
        <w:spacing w:after="0" w:line="240" w:lineRule="auto"/>
      </w:pPr>
      <w:r>
        <w:separator/>
      </w:r>
    </w:p>
  </w:endnote>
  <w:endnote w:type="continuationSeparator" w:id="0">
    <w:p w:rsidR="006D1C50" w:rsidRDefault="006D1C50" w:rsidP="00391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14" w:rsidRDefault="00391714" w:rsidP="00391714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D59" w:rsidRDefault="00C23D59" w:rsidP="00391714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C50" w:rsidRDefault="006D1C50" w:rsidP="00391714">
      <w:pPr>
        <w:spacing w:after="0" w:line="240" w:lineRule="auto"/>
      </w:pPr>
      <w:r>
        <w:separator/>
      </w:r>
    </w:p>
  </w:footnote>
  <w:footnote w:type="continuationSeparator" w:id="0">
    <w:p w:rsidR="006D1C50" w:rsidRDefault="006D1C50" w:rsidP="00391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1675"/>
    <w:multiLevelType w:val="hybridMultilevel"/>
    <w:tmpl w:val="569ACB56"/>
    <w:lvl w:ilvl="0" w:tplc="3678048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CC4DF8"/>
    <w:multiLevelType w:val="hybridMultilevel"/>
    <w:tmpl w:val="87BCBC4E"/>
    <w:lvl w:ilvl="0" w:tplc="792C17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D039D"/>
    <w:multiLevelType w:val="hybridMultilevel"/>
    <w:tmpl w:val="489AC63C"/>
    <w:lvl w:ilvl="0" w:tplc="3678048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DE3808"/>
    <w:multiLevelType w:val="hybridMultilevel"/>
    <w:tmpl w:val="8B4ED2DE"/>
    <w:lvl w:ilvl="0" w:tplc="367804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D16139"/>
    <w:multiLevelType w:val="hybridMultilevel"/>
    <w:tmpl w:val="3E6AD5F6"/>
    <w:lvl w:ilvl="0" w:tplc="3678048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23"/>
    <w:rsid w:val="000229BA"/>
    <w:rsid w:val="00023296"/>
    <w:rsid w:val="00060309"/>
    <w:rsid w:val="00064F0D"/>
    <w:rsid w:val="00070AB6"/>
    <w:rsid w:val="00084A05"/>
    <w:rsid w:val="000866D9"/>
    <w:rsid w:val="00090322"/>
    <w:rsid w:val="000917C3"/>
    <w:rsid w:val="000B516F"/>
    <w:rsid w:val="000C4B81"/>
    <w:rsid w:val="000C4EA9"/>
    <w:rsid w:val="000F6FBF"/>
    <w:rsid w:val="00121EBC"/>
    <w:rsid w:val="00150D00"/>
    <w:rsid w:val="00157B2D"/>
    <w:rsid w:val="00177431"/>
    <w:rsid w:val="001B3A3E"/>
    <w:rsid w:val="001E2AC9"/>
    <w:rsid w:val="0020636E"/>
    <w:rsid w:val="00215E84"/>
    <w:rsid w:val="00221958"/>
    <w:rsid w:val="00226EB6"/>
    <w:rsid w:val="0023482A"/>
    <w:rsid w:val="002550E1"/>
    <w:rsid w:val="002704BB"/>
    <w:rsid w:val="00275309"/>
    <w:rsid w:val="002872CE"/>
    <w:rsid w:val="00293345"/>
    <w:rsid w:val="002957D9"/>
    <w:rsid w:val="0029784B"/>
    <w:rsid w:val="002B5925"/>
    <w:rsid w:val="002C4D5C"/>
    <w:rsid w:val="00302C04"/>
    <w:rsid w:val="003317D6"/>
    <w:rsid w:val="003533BA"/>
    <w:rsid w:val="00356441"/>
    <w:rsid w:val="0037246F"/>
    <w:rsid w:val="00391714"/>
    <w:rsid w:val="003A3A46"/>
    <w:rsid w:val="003C43F8"/>
    <w:rsid w:val="003F6E71"/>
    <w:rsid w:val="003F7CE2"/>
    <w:rsid w:val="00406FA2"/>
    <w:rsid w:val="00486436"/>
    <w:rsid w:val="00486F0F"/>
    <w:rsid w:val="004A2B12"/>
    <w:rsid w:val="004B4F51"/>
    <w:rsid w:val="004C325C"/>
    <w:rsid w:val="004C3F95"/>
    <w:rsid w:val="004F2F86"/>
    <w:rsid w:val="005068E2"/>
    <w:rsid w:val="00530027"/>
    <w:rsid w:val="00546D84"/>
    <w:rsid w:val="005618AD"/>
    <w:rsid w:val="00570B62"/>
    <w:rsid w:val="0058026C"/>
    <w:rsid w:val="005814C9"/>
    <w:rsid w:val="00585A15"/>
    <w:rsid w:val="00586508"/>
    <w:rsid w:val="005B402F"/>
    <w:rsid w:val="005C6A29"/>
    <w:rsid w:val="005D4F87"/>
    <w:rsid w:val="00615A42"/>
    <w:rsid w:val="0062707A"/>
    <w:rsid w:val="00632D33"/>
    <w:rsid w:val="00640278"/>
    <w:rsid w:val="00652E5B"/>
    <w:rsid w:val="00672EAA"/>
    <w:rsid w:val="006C43D6"/>
    <w:rsid w:val="006D1C50"/>
    <w:rsid w:val="006F2A60"/>
    <w:rsid w:val="006F5053"/>
    <w:rsid w:val="006F50E1"/>
    <w:rsid w:val="006F55BF"/>
    <w:rsid w:val="00701482"/>
    <w:rsid w:val="00713B91"/>
    <w:rsid w:val="00714721"/>
    <w:rsid w:val="007301E4"/>
    <w:rsid w:val="0074272B"/>
    <w:rsid w:val="00755711"/>
    <w:rsid w:val="007623FC"/>
    <w:rsid w:val="007A4E75"/>
    <w:rsid w:val="007B3667"/>
    <w:rsid w:val="008112D9"/>
    <w:rsid w:val="008249D0"/>
    <w:rsid w:val="00857DF2"/>
    <w:rsid w:val="0086438F"/>
    <w:rsid w:val="00871491"/>
    <w:rsid w:val="008773F8"/>
    <w:rsid w:val="008869EA"/>
    <w:rsid w:val="00892AD5"/>
    <w:rsid w:val="008A3F9B"/>
    <w:rsid w:val="008A4AB0"/>
    <w:rsid w:val="008B08D0"/>
    <w:rsid w:val="008C1688"/>
    <w:rsid w:val="008D1595"/>
    <w:rsid w:val="008D7BC3"/>
    <w:rsid w:val="008E6A01"/>
    <w:rsid w:val="008F509C"/>
    <w:rsid w:val="00901C54"/>
    <w:rsid w:val="00904688"/>
    <w:rsid w:val="00915145"/>
    <w:rsid w:val="00916980"/>
    <w:rsid w:val="00920B0E"/>
    <w:rsid w:val="00976BB5"/>
    <w:rsid w:val="0099412D"/>
    <w:rsid w:val="009A5CDF"/>
    <w:rsid w:val="009D266E"/>
    <w:rsid w:val="009D7398"/>
    <w:rsid w:val="009F7D5C"/>
    <w:rsid w:val="00A035C7"/>
    <w:rsid w:val="00A14300"/>
    <w:rsid w:val="00A2598D"/>
    <w:rsid w:val="00A27107"/>
    <w:rsid w:val="00A31E34"/>
    <w:rsid w:val="00A50CB8"/>
    <w:rsid w:val="00A57174"/>
    <w:rsid w:val="00A5754E"/>
    <w:rsid w:val="00A64548"/>
    <w:rsid w:val="00A85DDB"/>
    <w:rsid w:val="00A91314"/>
    <w:rsid w:val="00A97823"/>
    <w:rsid w:val="00AA1CBE"/>
    <w:rsid w:val="00AD2587"/>
    <w:rsid w:val="00B02753"/>
    <w:rsid w:val="00B02EC2"/>
    <w:rsid w:val="00B204B7"/>
    <w:rsid w:val="00B40784"/>
    <w:rsid w:val="00B53C88"/>
    <w:rsid w:val="00B54A97"/>
    <w:rsid w:val="00B603CF"/>
    <w:rsid w:val="00B86F65"/>
    <w:rsid w:val="00BA48AA"/>
    <w:rsid w:val="00BC1B81"/>
    <w:rsid w:val="00BC445F"/>
    <w:rsid w:val="00BD6C55"/>
    <w:rsid w:val="00BE60E7"/>
    <w:rsid w:val="00BF582C"/>
    <w:rsid w:val="00C23D59"/>
    <w:rsid w:val="00C5457E"/>
    <w:rsid w:val="00C70B14"/>
    <w:rsid w:val="00C73C97"/>
    <w:rsid w:val="00C97DBC"/>
    <w:rsid w:val="00CA5673"/>
    <w:rsid w:val="00CC6A22"/>
    <w:rsid w:val="00CE7EAC"/>
    <w:rsid w:val="00D14B86"/>
    <w:rsid w:val="00D271EF"/>
    <w:rsid w:val="00D34DC3"/>
    <w:rsid w:val="00D614AF"/>
    <w:rsid w:val="00D700F4"/>
    <w:rsid w:val="00D9419F"/>
    <w:rsid w:val="00DA1044"/>
    <w:rsid w:val="00DD7305"/>
    <w:rsid w:val="00DF5535"/>
    <w:rsid w:val="00E00023"/>
    <w:rsid w:val="00E305D8"/>
    <w:rsid w:val="00E43CB4"/>
    <w:rsid w:val="00E66207"/>
    <w:rsid w:val="00E67D6A"/>
    <w:rsid w:val="00E82D2B"/>
    <w:rsid w:val="00E92253"/>
    <w:rsid w:val="00ED155F"/>
    <w:rsid w:val="00F10B1A"/>
    <w:rsid w:val="00F11571"/>
    <w:rsid w:val="00F36B78"/>
    <w:rsid w:val="00F54C18"/>
    <w:rsid w:val="00F57A3F"/>
    <w:rsid w:val="00F73417"/>
    <w:rsid w:val="00F737AE"/>
    <w:rsid w:val="00FB6785"/>
    <w:rsid w:val="00FD7FF8"/>
    <w:rsid w:val="00FE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6F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7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7DF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917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1714"/>
  </w:style>
  <w:style w:type="paragraph" w:styleId="Pidipagina">
    <w:name w:val="footer"/>
    <w:basedOn w:val="Normale"/>
    <w:link w:val="PidipaginaCarattere"/>
    <w:unhideWhenUsed/>
    <w:rsid w:val="003917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91714"/>
  </w:style>
  <w:style w:type="character" w:styleId="Collegamentoipertestuale">
    <w:name w:val="Hyperlink"/>
    <w:basedOn w:val="Carpredefinitoparagrafo"/>
    <w:uiPriority w:val="99"/>
    <w:rsid w:val="00391714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57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E60E7"/>
    <w:rPr>
      <w:b/>
      <w:bCs/>
    </w:rPr>
  </w:style>
  <w:style w:type="paragraph" w:styleId="Paragrafoelenco">
    <w:name w:val="List Paragraph"/>
    <w:basedOn w:val="Normale"/>
    <w:uiPriority w:val="34"/>
    <w:qFormat/>
    <w:rsid w:val="00B86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927B8-F644-4188-A30F-B74BC21BF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MonicaP</dc:creator>
  <cp:lastModifiedBy>MIUR</cp:lastModifiedBy>
  <cp:revision>9</cp:revision>
  <cp:lastPrinted>2017-04-03T09:55:00Z</cp:lastPrinted>
  <dcterms:created xsi:type="dcterms:W3CDTF">2017-05-11T09:56:00Z</dcterms:created>
  <dcterms:modified xsi:type="dcterms:W3CDTF">2017-05-12T13:08:00Z</dcterms:modified>
</cp:coreProperties>
</file>