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78" w:rsidRDefault="00DE3B78" w:rsidP="00224D4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0D4E" w:rsidRDefault="00600D4E" w:rsidP="00224D4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407C" w:rsidRDefault="00D3407C" w:rsidP="00D3407C">
      <w:pPr>
        <w:pStyle w:val="Titolo4"/>
        <w:rPr>
          <w:sz w:val="24"/>
        </w:rPr>
      </w:pPr>
      <w:r>
        <w:rPr>
          <w:sz w:val="24"/>
        </w:rPr>
        <w:t>ESAME DI STATO DI ISTITUTO TECNICO  Settore  ECONOMICO</w:t>
      </w:r>
    </w:p>
    <w:p w:rsidR="00D3407C" w:rsidRDefault="00D3407C" w:rsidP="00D3407C">
      <w:pPr>
        <w:jc w:val="center"/>
        <w:rPr>
          <w:lang w:eastAsia="it-IT"/>
        </w:rPr>
      </w:pPr>
    </w:p>
    <w:p w:rsidR="00D3407C" w:rsidRDefault="00D3407C" w:rsidP="00D340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Indirizzo: “AMMINISTRAZIONE, FINANZA E MARKETING”</w:t>
      </w:r>
    </w:p>
    <w:p w:rsidR="00D3407C" w:rsidRDefault="00D3407C" w:rsidP="00D340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Articolazione: “RAPPORTI INTERNAZIONALI E MARCHETING”</w:t>
      </w:r>
    </w:p>
    <w:p w:rsidR="00D3407C" w:rsidRDefault="00D3407C" w:rsidP="00D340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ESEMPIO DI SECONDA PROVA</w:t>
      </w:r>
      <w:r w:rsidR="000A1C64">
        <w:rPr>
          <w:rFonts w:ascii="Times New Roman" w:hAnsi="Times New Roman" w:cs="Times New Roman"/>
          <w:b/>
          <w:sz w:val="24"/>
          <w:szCs w:val="24"/>
        </w:rPr>
        <w:t xml:space="preserve"> di “ECONOMIA AZIENDALE E GEOPOLITICA”</w:t>
      </w:r>
      <w:bookmarkStart w:id="0" w:name="_GoBack"/>
      <w:bookmarkEnd w:id="0"/>
    </w:p>
    <w:p w:rsidR="00224D42" w:rsidRPr="00224D42" w:rsidRDefault="00224D42" w:rsidP="00224D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D42">
        <w:rPr>
          <w:rFonts w:ascii="Times New Roman" w:hAnsi="Times New Roman" w:cs="Times New Roman"/>
          <w:b/>
          <w:sz w:val="24"/>
          <w:szCs w:val="24"/>
        </w:rPr>
        <w:t>PRIMA PARTE</w:t>
      </w:r>
    </w:p>
    <w:p w:rsidR="00224D42" w:rsidRPr="00BA0BE6" w:rsidRDefault="00224D42" w:rsidP="003C055B">
      <w:pPr>
        <w:jc w:val="both"/>
        <w:rPr>
          <w:rFonts w:ascii="Times New Roman" w:hAnsi="Times New Roman" w:cs="Times New Roman"/>
          <w:sz w:val="24"/>
          <w:szCs w:val="24"/>
        </w:rPr>
      </w:pPr>
      <w:r w:rsidRPr="00BA0BE6">
        <w:rPr>
          <w:rFonts w:ascii="Times New Roman" w:hAnsi="Times New Roman" w:cs="Times New Roman"/>
          <w:sz w:val="24"/>
          <w:szCs w:val="24"/>
        </w:rPr>
        <w:t>Stralcio tratto dalla Nota integrativa al bilancio di Alfa spa, impresa industriale</w:t>
      </w:r>
      <w:r w:rsidR="00157548" w:rsidRPr="00BA0BE6">
        <w:rPr>
          <w:rFonts w:ascii="Times New Roman" w:hAnsi="Times New Roman" w:cs="Times New Roman"/>
          <w:sz w:val="24"/>
          <w:szCs w:val="24"/>
        </w:rPr>
        <w:t xml:space="preserve"> operante nel settore</w:t>
      </w:r>
      <w:r w:rsidRPr="00BA0BE6">
        <w:rPr>
          <w:rFonts w:ascii="Times New Roman" w:hAnsi="Times New Roman" w:cs="Times New Roman"/>
          <w:sz w:val="24"/>
          <w:szCs w:val="24"/>
        </w:rPr>
        <w:t xml:space="preserve"> tecnologico, al 31/12/2014.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F0EA3" w:rsidTr="002E549A">
        <w:tc>
          <w:tcPr>
            <w:tcW w:w="9778" w:type="dxa"/>
          </w:tcPr>
          <w:p w:rsidR="009F0EA3" w:rsidRPr="00312A92" w:rsidRDefault="009F0EA3" w:rsidP="002E54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A92">
              <w:rPr>
                <w:rFonts w:ascii="Arial" w:hAnsi="Arial" w:cs="Arial"/>
                <w:b/>
                <w:sz w:val="20"/>
                <w:szCs w:val="20"/>
              </w:rPr>
              <w:t>Nota integrativa al bilancio 31/12/2014 – art. 2427 c.c.</w:t>
            </w:r>
          </w:p>
          <w:p w:rsidR="009F0EA3" w:rsidRPr="00312A92" w:rsidRDefault="009F0EA3" w:rsidP="002E549A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A92"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  <w:p w:rsidR="009F0EA3" w:rsidRPr="00312A92" w:rsidRDefault="009F0EA3" w:rsidP="002E54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0EA3" w:rsidRPr="00312A92" w:rsidRDefault="009F0EA3" w:rsidP="002E549A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12A92">
              <w:rPr>
                <w:rFonts w:ascii="Arial" w:hAnsi="Arial" w:cs="Arial"/>
                <w:i/>
                <w:sz w:val="20"/>
                <w:szCs w:val="20"/>
              </w:rPr>
              <w:t>Movimenti intervenuti nel Patrimonio netto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937"/>
              <w:gridCol w:w="1260"/>
              <w:gridCol w:w="1245"/>
              <w:gridCol w:w="1538"/>
              <w:gridCol w:w="1412"/>
              <w:gridCol w:w="1160"/>
            </w:tblGrid>
            <w:tr w:rsidR="009F0EA3" w:rsidRPr="00312A92" w:rsidTr="002E549A">
              <w:tc>
                <w:tcPr>
                  <w:tcW w:w="3085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Descrizione</w:t>
                  </w:r>
                </w:p>
              </w:tc>
              <w:tc>
                <w:tcPr>
                  <w:tcW w:w="1276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Capitale sociale</w:t>
                  </w:r>
                </w:p>
              </w:tc>
              <w:tc>
                <w:tcPr>
                  <w:tcW w:w="1276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Riserva legale</w:t>
                  </w:r>
                </w:p>
              </w:tc>
              <w:tc>
                <w:tcPr>
                  <w:tcW w:w="1559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Riserva straordinaria</w:t>
                  </w:r>
                </w:p>
              </w:tc>
              <w:tc>
                <w:tcPr>
                  <w:tcW w:w="1417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Utile dell’esercizio</w:t>
                  </w:r>
                </w:p>
              </w:tc>
              <w:tc>
                <w:tcPr>
                  <w:tcW w:w="1165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Totale</w:t>
                  </w:r>
                </w:p>
              </w:tc>
            </w:tr>
            <w:tr w:rsidR="00624429" w:rsidRPr="00624429" w:rsidTr="002E549A">
              <w:tc>
                <w:tcPr>
                  <w:tcW w:w="3085" w:type="dxa"/>
                </w:tcPr>
                <w:p w:rsidR="009F0EA3" w:rsidRPr="00624429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Valori all’01/01/2014</w:t>
                  </w:r>
                </w:p>
              </w:tc>
              <w:tc>
                <w:tcPr>
                  <w:tcW w:w="1276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3.000.000</w:t>
                  </w:r>
                </w:p>
              </w:tc>
              <w:tc>
                <w:tcPr>
                  <w:tcW w:w="1276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112.000</w:t>
                  </w:r>
                </w:p>
              </w:tc>
              <w:tc>
                <w:tcPr>
                  <w:tcW w:w="1559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220.000</w:t>
                  </w:r>
                </w:p>
              </w:tc>
              <w:tc>
                <w:tcPr>
                  <w:tcW w:w="1417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158.800</w:t>
                  </w:r>
                </w:p>
              </w:tc>
              <w:tc>
                <w:tcPr>
                  <w:tcW w:w="1165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3.490.800</w:t>
                  </w:r>
                </w:p>
              </w:tc>
            </w:tr>
            <w:tr w:rsidR="00624429" w:rsidRPr="00624429" w:rsidTr="002E549A">
              <w:tc>
                <w:tcPr>
                  <w:tcW w:w="3085" w:type="dxa"/>
                </w:tcPr>
                <w:p w:rsidR="009F0EA3" w:rsidRPr="00624429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Utile accantonato a riserva</w:t>
                  </w:r>
                </w:p>
              </w:tc>
              <w:tc>
                <w:tcPr>
                  <w:tcW w:w="1276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7.940</w:t>
                  </w:r>
                </w:p>
              </w:tc>
              <w:tc>
                <w:tcPr>
                  <w:tcW w:w="1559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15.860</w:t>
                  </w:r>
                </w:p>
              </w:tc>
              <w:tc>
                <w:tcPr>
                  <w:tcW w:w="1417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-23.800</w:t>
                  </w:r>
                </w:p>
              </w:tc>
              <w:tc>
                <w:tcPr>
                  <w:tcW w:w="1165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24429" w:rsidRPr="00624429" w:rsidTr="002E549A">
              <w:tc>
                <w:tcPr>
                  <w:tcW w:w="3085" w:type="dxa"/>
                </w:tcPr>
                <w:p w:rsidR="009F0EA3" w:rsidRPr="00624429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Dividendi pagati agli azionisti</w:t>
                  </w:r>
                </w:p>
              </w:tc>
              <w:tc>
                <w:tcPr>
                  <w:tcW w:w="1276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-135.000</w:t>
                  </w:r>
                </w:p>
              </w:tc>
              <w:tc>
                <w:tcPr>
                  <w:tcW w:w="1165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-135.000</w:t>
                  </w:r>
                </w:p>
              </w:tc>
            </w:tr>
            <w:tr w:rsidR="00624429" w:rsidRPr="00624429" w:rsidTr="002E549A">
              <w:tc>
                <w:tcPr>
                  <w:tcW w:w="3085" w:type="dxa"/>
                </w:tcPr>
                <w:p w:rsidR="009F0EA3" w:rsidRPr="00624429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Utile dell’esercizio 2014</w:t>
                  </w:r>
                </w:p>
              </w:tc>
              <w:tc>
                <w:tcPr>
                  <w:tcW w:w="1276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162.000</w:t>
                  </w:r>
                </w:p>
              </w:tc>
              <w:tc>
                <w:tcPr>
                  <w:tcW w:w="1165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162.000</w:t>
                  </w:r>
                </w:p>
              </w:tc>
            </w:tr>
            <w:tr w:rsidR="00624429" w:rsidRPr="00624429" w:rsidTr="002E549A">
              <w:tc>
                <w:tcPr>
                  <w:tcW w:w="3085" w:type="dxa"/>
                </w:tcPr>
                <w:p w:rsidR="009F0EA3" w:rsidRPr="00624429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Valori al 31/12/2014</w:t>
                  </w:r>
                </w:p>
              </w:tc>
              <w:tc>
                <w:tcPr>
                  <w:tcW w:w="1276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3.000.000</w:t>
                  </w:r>
                </w:p>
              </w:tc>
              <w:tc>
                <w:tcPr>
                  <w:tcW w:w="1276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119.940</w:t>
                  </w:r>
                </w:p>
              </w:tc>
              <w:tc>
                <w:tcPr>
                  <w:tcW w:w="1559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235.860</w:t>
                  </w:r>
                </w:p>
              </w:tc>
              <w:tc>
                <w:tcPr>
                  <w:tcW w:w="1417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162.000</w:t>
                  </w:r>
                </w:p>
              </w:tc>
              <w:tc>
                <w:tcPr>
                  <w:tcW w:w="1165" w:type="dxa"/>
                </w:tcPr>
                <w:p w:rsidR="009F0EA3" w:rsidRPr="00624429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4429">
                    <w:rPr>
                      <w:rFonts w:ascii="Arial" w:hAnsi="Arial" w:cs="Arial"/>
                      <w:sz w:val="20"/>
                      <w:szCs w:val="20"/>
                    </w:rPr>
                    <w:t>3.517.800</w:t>
                  </w:r>
                </w:p>
              </w:tc>
            </w:tr>
          </w:tbl>
          <w:p w:rsidR="009F0EA3" w:rsidRPr="00624429" w:rsidRDefault="009F0EA3" w:rsidP="002E54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0EA3" w:rsidRPr="00312A92" w:rsidRDefault="009F0EA3" w:rsidP="002E549A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12A92">
              <w:rPr>
                <w:rFonts w:ascii="Arial" w:hAnsi="Arial" w:cs="Arial"/>
                <w:i/>
                <w:sz w:val="20"/>
                <w:szCs w:val="20"/>
              </w:rPr>
              <w:t>Movimenti intervenuti nelle immobilizzazioni immateriali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691"/>
              <w:gridCol w:w="1668"/>
              <w:gridCol w:w="2368"/>
              <w:gridCol w:w="1825"/>
            </w:tblGrid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Immobilizzazioni immateriali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Costo originario</w:t>
                  </w: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Fondo ammortamento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Valore di bilancio</w:t>
                  </w: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Costi di ricerca, di sviluppo e pubblicità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60.000</w:t>
                  </w: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24.000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36.000</w:t>
                  </w: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Ammortamento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12.000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Valore di bilancio al 31/12/2014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60.000</w:t>
                  </w: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36.000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24.000</w:t>
                  </w:r>
                </w:p>
              </w:tc>
            </w:tr>
          </w:tbl>
          <w:p w:rsidR="009F0EA3" w:rsidRPr="00312A92" w:rsidRDefault="009F0EA3" w:rsidP="002E54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0EA3" w:rsidRPr="00312A92" w:rsidRDefault="009F0EA3" w:rsidP="002E549A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12A92">
              <w:rPr>
                <w:rFonts w:ascii="Arial" w:hAnsi="Arial" w:cs="Arial"/>
                <w:i/>
                <w:sz w:val="20"/>
                <w:szCs w:val="20"/>
              </w:rPr>
              <w:t>Movimenti intervenuti nelle immobilizzazioni materiali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683"/>
              <w:gridCol w:w="1670"/>
              <w:gridCol w:w="2366"/>
              <w:gridCol w:w="1833"/>
            </w:tblGrid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Immobilizzazioni immateriali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Costo originario</w:t>
                  </w: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Fondo ammortamento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Valore di bilancio</w:t>
                  </w: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Terreni e fabbricati (*)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2.000.000</w:t>
                  </w: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1.024.000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976.000</w:t>
                  </w: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Ammortamento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42.000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Valore di bilancio al 31/12/2014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2.000.000</w:t>
                  </w: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1.066.000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934.000</w:t>
                  </w: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Impianti e macchinari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4.258.000</w:t>
                  </w: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1.916.000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2.342.000</w:t>
                  </w: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Acquisto (in data 01/07)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+700.000</w:t>
                  </w: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Vendita (in data 01/07)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-450.000</w:t>
                  </w: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-315.000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Ammortamento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657.604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F0EA3" w:rsidRPr="00312A92" w:rsidTr="002E549A">
              <w:tc>
                <w:tcPr>
                  <w:tcW w:w="3794" w:type="dxa"/>
                </w:tcPr>
                <w:p w:rsidR="009F0EA3" w:rsidRPr="00312A92" w:rsidRDefault="009F0EA3" w:rsidP="002E549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Valore di bilancio al 31/12/2014</w:t>
                  </w:r>
                </w:p>
              </w:tc>
              <w:tc>
                <w:tcPr>
                  <w:tcW w:w="1701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4.508.000</w:t>
                  </w:r>
                </w:p>
              </w:tc>
              <w:tc>
                <w:tcPr>
                  <w:tcW w:w="2410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2.258.604</w:t>
                  </w:r>
                </w:p>
              </w:tc>
              <w:tc>
                <w:tcPr>
                  <w:tcW w:w="1873" w:type="dxa"/>
                </w:tcPr>
                <w:p w:rsidR="009F0EA3" w:rsidRPr="00312A92" w:rsidRDefault="009F0EA3" w:rsidP="002E549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2.249.396</w:t>
                  </w:r>
                </w:p>
              </w:tc>
            </w:tr>
          </w:tbl>
          <w:p w:rsidR="009F0EA3" w:rsidRPr="00312A92" w:rsidRDefault="009F0EA3" w:rsidP="002E54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A92">
              <w:rPr>
                <w:rFonts w:ascii="Arial" w:hAnsi="Arial" w:cs="Arial"/>
                <w:sz w:val="20"/>
                <w:szCs w:val="20"/>
              </w:rPr>
              <w:t>(*) valore del fabbricato 1.400.000 euro</w:t>
            </w:r>
          </w:p>
          <w:p w:rsidR="009F0EA3" w:rsidRPr="00312A92" w:rsidRDefault="009F0EA3" w:rsidP="002E54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0EA3" w:rsidRPr="00312A92" w:rsidRDefault="009F0EA3" w:rsidP="002E549A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A92"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</w:tr>
    </w:tbl>
    <w:p w:rsidR="00D3407C" w:rsidRDefault="00D3407C" w:rsidP="00224D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407C" w:rsidRDefault="00D3407C" w:rsidP="00224D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407C" w:rsidRDefault="00D3407C" w:rsidP="00224D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407C" w:rsidRDefault="00D3407C" w:rsidP="00224D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407C" w:rsidRDefault="00D3407C" w:rsidP="00224D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407C" w:rsidRDefault="00D3407C" w:rsidP="00224D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60F" w:rsidRDefault="00224D42" w:rsidP="00224D42">
      <w:pPr>
        <w:jc w:val="both"/>
        <w:rPr>
          <w:rFonts w:ascii="Times New Roman" w:hAnsi="Times New Roman" w:cs="Times New Roman"/>
          <w:sz w:val="24"/>
          <w:szCs w:val="24"/>
        </w:rPr>
      </w:pPr>
      <w:r w:rsidRPr="00C1606D">
        <w:rPr>
          <w:rFonts w:ascii="Times New Roman" w:hAnsi="Times New Roman" w:cs="Times New Roman"/>
          <w:sz w:val="24"/>
          <w:szCs w:val="24"/>
        </w:rPr>
        <w:t>Il candidato, dopo aver analizzato le tabelle della Nota integrativa, tragga i dati necessari per</w:t>
      </w:r>
      <w:r w:rsidR="00C1260F">
        <w:rPr>
          <w:rFonts w:ascii="Times New Roman" w:hAnsi="Times New Roman" w:cs="Times New Roman"/>
          <w:sz w:val="24"/>
          <w:szCs w:val="24"/>
        </w:rPr>
        <w:t>:</w:t>
      </w:r>
    </w:p>
    <w:p w:rsidR="00224D42" w:rsidRPr="00624429" w:rsidRDefault="00C1260F" w:rsidP="00FF47B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429">
        <w:rPr>
          <w:rFonts w:ascii="Times New Roman" w:hAnsi="Times New Roman" w:cs="Times New Roman"/>
          <w:sz w:val="24"/>
          <w:szCs w:val="24"/>
        </w:rPr>
        <w:t xml:space="preserve">ricostruire lo Stato patrimoniale </w:t>
      </w:r>
      <w:r w:rsidR="009F0EA3" w:rsidRPr="00624429">
        <w:rPr>
          <w:rFonts w:ascii="Times New Roman" w:hAnsi="Times New Roman" w:cs="Times New Roman"/>
          <w:sz w:val="24"/>
          <w:szCs w:val="24"/>
        </w:rPr>
        <w:t>e il Conto economico sintetici</w:t>
      </w:r>
      <w:r w:rsidRPr="00624429">
        <w:rPr>
          <w:rFonts w:ascii="Times New Roman" w:hAnsi="Times New Roman" w:cs="Times New Roman"/>
          <w:sz w:val="24"/>
          <w:szCs w:val="24"/>
        </w:rPr>
        <w:t xml:space="preserve"> di Alfa spa</w:t>
      </w:r>
      <w:r w:rsidR="00157548" w:rsidRPr="00624429">
        <w:rPr>
          <w:rFonts w:ascii="Times New Roman" w:hAnsi="Times New Roman" w:cs="Times New Roman"/>
          <w:sz w:val="24"/>
          <w:szCs w:val="24"/>
        </w:rPr>
        <w:t xml:space="preserve"> e present</w:t>
      </w:r>
      <w:r w:rsidR="00CF3FDA" w:rsidRPr="00624429">
        <w:rPr>
          <w:rFonts w:ascii="Times New Roman" w:hAnsi="Times New Roman" w:cs="Times New Roman"/>
          <w:sz w:val="24"/>
          <w:szCs w:val="24"/>
        </w:rPr>
        <w:t>are</w:t>
      </w:r>
      <w:r w:rsidR="00157548" w:rsidRPr="00624429">
        <w:rPr>
          <w:rFonts w:ascii="Times New Roman" w:hAnsi="Times New Roman" w:cs="Times New Roman"/>
          <w:sz w:val="24"/>
          <w:szCs w:val="24"/>
        </w:rPr>
        <w:t xml:space="preserve"> </w:t>
      </w:r>
      <w:r w:rsidR="009F0EA3" w:rsidRPr="00624429">
        <w:rPr>
          <w:rFonts w:ascii="Times New Roman" w:hAnsi="Times New Roman" w:cs="Times New Roman"/>
          <w:sz w:val="24"/>
          <w:szCs w:val="24"/>
        </w:rPr>
        <w:t xml:space="preserve">gli schemi </w:t>
      </w:r>
      <w:r w:rsidR="00CF3FDA" w:rsidRPr="00624429">
        <w:rPr>
          <w:rFonts w:ascii="Times New Roman" w:hAnsi="Times New Roman" w:cs="Times New Roman"/>
          <w:sz w:val="24"/>
          <w:szCs w:val="24"/>
        </w:rPr>
        <w:t>considerando</w:t>
      </w:r>
      <w:r w:rsidR="009F0EA3" w:rsidRPr="00624429">
        <w:rPr>
          <w:rFonts w:ascii="Times New Roman" w:hAnsi="Times New Roman" w:cs="Times New Roman"/>
          <w:sz w:val="24"/>
          <w:szCs w:val="24"/>
        </w:rPr>
        <w:t xml:space="preserve"> che dal bilancio e dalla sua rielaborazione al 31/12/2014 si evidenziano i seguenti indicatori:</w:t>
      </w:r>
    </w:p>
    <w:p w:rsidR="009F0EA3" w:rsidRPr="00624429" w:rsidRDefault="009F0EA3" w:rsidP="009F0EA3">
      <w:pPr>
        <w:pStyle w:val="Paragrafoelenco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429">
        <w:rPr>
          <w:rFonts w:ascii="Times New Roman" w:hAnsi="Times New Roman" w:cs="Times New Roman"/>
          <w:sz w:val="24"/>
          <w:szCs w:val="24"/>
        </w:rPr>
        <w:t>rigidità degli impieghi 50%</w:t>
      </w:r>
    </w:p>
    <w:p w:rsidR="009F0EA3" w:rsidRPr="00624429" w:rsidRDefault="009F0EA3" w:rsidP="009F0EA3">
      <w:pPr>
        <w:pStyle w:val="Paragrafoelenco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429">
        <w:rPr>
          <w:rFonts w:ascii="Times New Roman" w:hAnsi="Times New Roman" w:cs="Times New Roman"/>
          <w:sz w:val="24"/>
          <w:szCs w:val="24"/>
        </w:rPr>
        <w:t>ROI 6%</w:t>
      </w:r>
    </w:p>
    <w:p w:rsidR="009F0EA3" w:rsidRPr="00624429" w:rsidRDefault="009F0EA3" w:rsidP="009F0EA3">
      <w:pPr>
        <w:pStyle w:val="Paragrafoelenco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429">
        <w:rPr>
          <w:rFonts w:ascii="Times New Roman" w:hAnsi="Times New Roman" w:cs="Times New Roman"/>
          <w:sz w:val="24"/>
          <w:szCs w:val="24"/>
        </w:rPr>
        <w:t>ROS 5,50%</w:t>
      </w:r>
    </w:p>
    <w:p w:rsidR="009F0EA3" w:rsidRPr="00624429" w:rsidRDefault="009F0EA3" w:rsidP="009F0EA3">
      <w:pPr>
        <w:pStyle w:val="Paragrafoelenco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429">
        <w:rPr>
          <w:rFonts w:ascii="Times New Roman" w:hAnsi="Times New Roman" w:cs="Times New Roman"/>
          <w:sz w:val="24"/>
          <w:szCs w:val="24"/>
        </w:rPr>
        <w:t>ROD 4%</w:t>
      </w:r>
    </w:p>
    <w:p w:rsidR="00C1260F" w:rsidRPr="00C1260F" w:rsidRDefault="00C1260F" w:rsidP="00FF47BF">
      <w:pPr>
        <w:pStyle w:val="Paragrafoelenco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C1606D">
        <w:rPr>
          <w:rFonts w:ascii="Times New Roman" w:hAnsi="Times New Roman"/>
          <w:sz w:val="24"/>
          <w:szCs w:val="24"/>
        </w:rPr>
        <w:t xml:space="preserve">edigere il report </w:t>
      </w:r>
      <w:r>
        <w:rPr>
          <w:rFonts w:ascii="Times New Roman" w:hAnsi="Times New Roman"/>
          <w:sz w:val="24"/>
          <w:szCs w:val="24"/>
        </w:rPr>
        <w:t>sulla situazione patrimoniale e finanziaria di Alfa spa supportata dagli opportuni margini e indici</w:t>
      </w:r>
      <w:r w:rsidRPr="00C1606D">
        <w:rPr>
          <w:rFonts w:ascii="Times New Roman" w:hAnsi="Times New Roman"/>
          <w:sz w:val="24"/>
          <w:szCs w:val="24"/>
        </w:rPr>
        <w:t>.</w:t>
      </w:r>
    </w:p>
    <w:p w:rsidR="00224D42" w:rsidRPr="00C1606D" w:rsidRDefault="00224D42" w:rsidP="00FF47BF">
      <w:pPr>
        <w:pStyle w:val="Nessunaspaziatura1"/>
        <w:jc w:val="both"/>
        <w:rPr>
          <w:rFonts w:ascii="Times New Roman" w:hAnsi="Times New Roman"/>
          <w:sz w:val="24"/>
          <w:szCs w:val="24"/>
        </w:rPr>
      </w:pPr>
    </w:p>
    <w:p w:rsidR="00D3407C" w:rsidRDefault="00D3407C" w:rsidP="00224D4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4D42" w:rsidRPr="00C1606D" w:rsidRDefault="00224D42" w:rsidP="00224D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6D">
        <w:rPr>
          <w:rFonts w:ascii="Times New Roman" w:hAnsi="Times New Roman" w:cs="Times New Roman"/>
          <w:b/>
          <w:sz w:val="24"/>
          <w:szCs w:val="24"/>
        </w:rPr>
        <w:t>SECONDA PARTE</w:t>
      </w:r>
    </w:p>
    <w:p w:rsidR="00224D42" w:rsidRPr="00C1606D" w:rsidRDefault="00224D42" w:rsidP="00224D42">
      <w:pPr>
        <w:jc w:val="both"/>
        <w:rPr>
          <w:rFonts w:ascii="Times New Roman" w:hAnsi="Times New Roman" w:cs="Times New Roman"/>
          <w:sz w:val="24"/>
          <w:szCs w:val="24"/>
        </w:rPr>
      </w:pPr>
      <w:r w:rsidRPr="00C1606D">
        <w:rPr>
          <w:rFonts w:ascii="Times New Roman" w:hAnsi="Times New Roman" w:cs="Times New Roman"/>
          <w:sz w:val="24"/>
          <w:szCs w:val="24"/>
        </w:rPr>
        <w:t xml:space="preserve">Il candidato scelga due dei seguenti quesiti e presenti per ognuno le linee operative, le motivazioni delle soluzioni prospettate e la produzione dei </w:t>
      </w:r>
      <w:r w:rsidR="009D4233">
        <w:rPr>
          <w:rFonts w:ascii="Times New Roman" w:hAnsi="Times New Roman" w:cs="Times New Roman"/>
          <w:sz w:val="24"/>
          <w:szCs w:val="24"/>
        </w:rPr>
        <w:t xml:space="preserve">relativi </w:t>
      </w:r>
      <w:r w:rsidRPr="00C1606D">
        <w:rPr>
          <w:rFonts w:ascii="Times New Roman" w:hAnsi="Times New Roman" w:cs="Times New Roman"/>
          <w:sz w:val="24"/>
          <w:szCs w:val="24"/>
        </w:rPr>
        <w:t>documenti</w:t>
      </w:r>
      <w:r w:rsidR="009D4233">
        <w:rPr>
          <w:rFonts w:ascii="Times New Roman" w:hAnsi="Times New Roman" w:cs="Times New Roman"/>
          <w:sz w:val="24"/>
          <w:szCs w:val="24"/>
        </w:rPr>
        <w:t>,</w:t>
      </w:r>
      <w:r w:rsidRPr="00C1606D">
        <w:rPr>
          <w:rFonts w:ascii="Times New Roman" w:hAnsi="Times New Roman" w:cs="Times New Roman"/>
          <w:sz w:val="24"/>
          <w:szCs w:val="24"/>
        </w:rPr>
        <w:t xml:space="preserve"> ove richiesto.</w:t>
      </w:r>
    </w:p>
    <w:p w:rsidR="00C1260F" w:rsidRPr="00624429" w:rsidRDefault="00C1260F" w:rsidP="00DE3B78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429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157548" w:rsidRPr="00624429">
        <w:rPr>
          <w:rFonts w:ascii="Times New Roman" w:eastAsia="Times New Roman" w:hAnsi="Times New Roman" w:cs="Times New Roman"/>
          <w:sz w:val="24"/>
          <w:szCs w:val="24"/>
        </w:rPr>
        <w:t xml:space="preserve">valori </w:t>
      </w:r>
      <w:r w:rsidR="00FF47BF" w:rsidRPr="00624429">
        <w:rPr>
          <w:rFonts w:ascii="Times New Roman" w:eastAsia="Times New Roman" w:hAnsi="Times New Roman" w:cs="Times New Roman"/>
          <w:sz w:val="24"/>
          <w:szCs w:val="24"/>
        </w:rPr>
        <w:t>dello Stato patrimoniale sintetico si ottengono dalla rielaborazione e sintesi, secondo diversi criteri, dei dati di bilancio redatto secondo le disposizioni degli art</w:t>
      </w:r>
      <w:r w:rsidR="009D4233" w:rsidRPr="00624429">
        <w:rPr>
          <w:rFonts w:ascii="Times New Roman" w:eastAsia="Times New Roman" w:hAnsi="Times New Roman" w:cs="Times New Roman"/>
          <w:sz w:val="24"/>
          <w:szCs w:val="24"/>
        </w:rPr>
        <w:t>.</w:t>
      </w:r>
      <w:r w:rsidR="00FF47BF" w:rsidRPr="00624429">
        <w:rPr>
          <w:rFonts w:ascii="Times New Roman" w:eastAsia="Times New Roman" w:hAnsi="Times New Roman" w:cs="Times New Roman"/>
          <w:sz w:val="24"/>
          <w:szCs w:val="24"/>
        </w:rPr>
        <w:t xml:space="preserve"> 2423 e</w:t>
      </w:r>
      <w:r w:rsidR="009F0EA3" w:rsidRPr="00624429">
        <w:rPr>
          <w:rFonts w:ascii="Times New Roman" w:eastAsia="Times New Roman" w:hAnsi="Times New Roman" w:cs="Times New Roman"/>
          <w:sz w:val="24"/>
          <w:szCs w:val="24"/>
        </w:rPr>
        <w:t xml:space="preserve"> seguenti</w:t>
      </w:r>
      <w:r w:rsidR="00FF47BF" w:rsidRPr="00624429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r w:rsidR="00157548" w:rsidRPr="00624429">
        <w:rPr>
          <w:rFonts w:ascii="Times New Roman" w:eastAsia="Times New Roman" w:hAnsi="Times New Roman" w:cs="Times New Roman"/>
          <w:sz w:val="24"/>
          <w:szCs w:val="24"/>
        </w:rPr>
        <w:t>C</w:t>
      </w:r>
      <w:r w:rsidR="00FF47BF" w:rsidRPr="00624429">
        <w:rPr>
          <w:rFonts w:ascii="Times New Roman" w:eastAsia="Times New Roman" w:hAnsi="Times New Roman" w:cs="Times New Roman"/>
          <w:sz w:val="24"/>
          <w:szCs w:val="24"/>
        </w:rPr>
        <w:t xml:space="preserve">odice </w:t>
      </w:r>
      <w:r w:rsidR="00157548" w:rsidRPr="00624429">
        <w:rPr>
          <w:rFonts w:ascii="Times New Roman" w:eastAsia="Times New Roman" w:hAnsi="Times New Roman" w:cs="Times New Roman"/>
          <w:sz w:val="24"/>
          <w:szCs w:val="24"/>
        </w:rPr>
        <w:t>C</w:t>
      </w:r>
      <w:r w:rsidR="00FF47BF" w:rsidRPr="00624429">
        <w:rPr>
          <w:rFonts w:ascii="Times New Roman" w:eastAsia="Times New Roman" w:hAnsi="Times New Roman" w:cs="Times New Roman"/>
          <w:sz w:val="24"/>
          <w:szCs w:val="24"/>
        </w:rPr>
        <w:t>ivile. Ricostruire, partendo dai dati sintetici rielaborati</w:t>
      </w:r>
      <w:r w:rsidR="009F0EA3" w:rsidRPr="00624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20CD">
        <w:rPr>
          <w:rFonts w:ascii="Times New Roman" w:eastAsia="Times New Roman" w:hAnsi="Times New Roman" w:cs="Times New Roman"/>
          <w:sz w:val="24"/>
          <w:szCs w:val="24"/>
        </w:rPr>
        <w:t xml:space="preserve">nella prima parte </w:t>
      </w:r>
      <w:r w:rsidR="009F0EA3" w:rsidRPr="00624429">
        <w:rPr>
          <w:rFonts w:ascii="Times New Roman" w:eastAsia="Times New Roman" w:hAnsi="Times New Roman" w:cs="Times New Roman"/>
          <w:sz w:val="24"/>
          <w:szCs w:val="24"/>
        </w:rPr>
        <w:t>e dagli indicatori forniti</w:t>
      </w:r>
      <w:r w:rsidR="00FF47BF" w:rsidRPr="0062442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4233" w:rsidRPr="00624429">
        <w:rPr>
          <w:rFonts w:ascii="Times New Roman" w:eastAsia="Times New Roman" w:hAnsi="Times New Roman" w:cs="Times New Roman"/>
          <w:sz w:val="24"/>
          <w:szCs w:val="24"/>
        </w:rPr>
        <w:t>lo</w:t>
      </w:r>
      <w:r w:rsidR="00FF47BF" w:rsidRPr="00624429">
        <w:rPr>
          <w:rFonts w:ascii="Times New Roman" w:eastAsia="Times New Roman" w:hAnsi="Times New Roman" w:cs="Times New Roman"/>
          <w:sz w:val="24"/>
          <w:szCs w:val="24"/>
        </w:rPr>
        <w:t xml:space="preserve"> Stato patrimoniale di Alfa spa </w:t>
      </w:r>
      <w:r w:rsidR="00CF3FDA" w:rsidRPr="00624429">
        <w:rPr>
          <w:rFonts w:ascii="Times New Roman" w:eastAsia="Times New Roman" w:hAnsi="Times New Roman" w:cs="Times New Roman"/>
          <w:sz w:val="24"/>
          <w:szCs w:val="24"/>
        </w:rPr>
        <w:t xml:space="preserve">al 31/12/2014 </w:t>
      </w:r>
      <w:r w:rsidR="00FF47BF" w:rsidRPr="00624429">
        <w:rPr>
          <w:rFonts w:ascii="Times New Roman" w:eastAsia="Times New Roman" w:hAnsi="Times New Roman" w:cs="Times New Roman"/>
          <w:sz w:val="24"/>
          <w:szCs w:val="24"/>
        </w:rPr>
        <w:t>redatt</w:t>
      </w:r>
      <w:r w:rsidR="00157548" w:rsidRPr="00624429">
        <w:rPr>
          <w:rFonts w:ascii="Times New Roman" w:eastAsia="Times New Roman" w:hAnsi="Times New Roman" w:cs="Times New Roman"/>
          <w:sz w:val="24"/>
          <w:szCs w:val="24"/>
        </w:rPr>
        <w:t>o</w:t>
      </w:r>
      <w:r w:rsidR="00FF47BF" w:rsidRPr="00624429">
        <w:rPr>
          <w:rFonts w:ascii="Times New Roman" w:eastAsia="Times New Roman" w:hAnsi="Times New Roman" w:cs="Times New Roman"/>
          <w:sz w:val="24"/>
          <w:szCs w:val="24"/>
        </w:rPr>
        <w:t xml:space="preserve"> secondo </w:t>
      </w:r>
      <w:r w:rsidR="00624429">
        <w:rPr>
          <w:rFonts w:ascii="Times New Roman" w:eastAsia="Times New Roman" w:hAnsi="Times New Roman" w:cs="Times New Roman"/>
          <w:sz w:val="24"/>
          <w:szCs w:val="24"/>
        </w:rPr>
        <w:t>le disposizioni dell’art. 2424 codice civile</w:t>
      </w:r>
      <w:r w:rsidR="00FF47BF" w:rsidRPr="006244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7548" w:rsidRPr="00157548" w:rsidRDefault="00157548" w:rsidP="0015754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47BF" w:rsidRPr="00624429" w:rsidRDefault="00FF47BF" w:rsidP="00FF47BF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429">
        <w:rPr>
          <w:rFonts w:ascii="Times New Roman" w:eastAsia="Times New Roman" w:hAnsi="Times New Roman" w:cs="Times New Roman"/>
          <w:sz w:val="24"/>
          <w:szCs w:val="24"/>
        </w:rPr>
        <w:t xml:space="preserve">Tra i dati dello Stato patrimoniale e quelli del Conto economico esistono collegamenti diretti e indiretti. Partendo dai dati forniti dallo stralcio di Nota integrativa e dai dati elaborati nello Stato patrimoniale </w:t>
      </w:r>
      <w:r w:rsidR="00624429">
        <w:rPr>
          <w:rFonts w:ascii="Times New Roman" w:eastAsia="Times New Roman" w:hAnsi="Times New Roman" w:cs="Times New Roman"/>
          <w:sz w:val="24"/>
          <w:szCs w:val="24"/>
        </w:rPr>
        <w:t xml:space="preserve">e nel Conto economico </w:t>
      </w:r>
      <w:r w:rsidRPr="00624429">
        <w:rPr>
          <w:rFonts w:ascii="Times New Roman" w:eastAsia="Times New Roman" w:hAnsi="Times New Roman" w:cs="Times New Roman"/>
          <w:sz w:val="24"/>
          <w:szCs w:val="24"/>
        </w:rPr>
        <w:t>sintetic</w:t>
      </w:r>
      <w:r w:rsidR="00624429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624429">
        <w:rPr>
          <w:rFonts w:ascii="Times New Roman" w:eastAsia="Times New Roman" w:hAnsi="Times New Roman" w:cs="Times New Roman"/>
          <w:sz w:val="24"/>
          <w:szCs w:val="24"/>
        </w:rPr>
        <w:t xml:space="preserve"> ricostruire il Conto economico di Alfa spa </w:t>
      </w:r>
      <w:r w:rsidR="00624429">
        <w:rPr>
          <w:rFonts w:ascii="Times New Roman" w:eastAsia="Times New Roman" w:hAnsi="Times New Roman" w:cs="Times New Roman"/>
          <w:sz w:val="24"/>
          <w:szCs w:val="24"/>
        </w:rPr>
        <w:t xml:space="preserve">al 31/12/2014 </w:t>
      </w:r>
      <w:r w:rsidRPr="00624429">
        <w:rPr>
          <w:rFonts w:ascii="Times New Roman" w:eastAsia="Times New Roman" w:hAnsi="Times New Roman" w:cs="Times New Roman"/>
          <w:sz w:val="24"/>
          <w:szCs w:val="24"/>
        </w:rPr>
        <w:t xml:space="preserve">redatto secondo le disposizioni </w:t>
      </w:r>
      <w:r w:rsidR="00624429">
        <w:rPr>
          <w:rFonts w:ascii="Times New Roman" w:eastAsia="Times New Roman" w:hAnsi="Times New Roman" w:cs="Times New Roman"/>
          <w:sz w:val="24"/>
          <w:szCs w:val="24"/>
        </w:rPr>
        <w:t>dell’art. 2425 codice civile</w:t>
      </w:r>
      <w:r w:rsidRPr="006244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0EA3" w:rsidRPr="009F0EA3" w:rsidRDefault="009F0EA3" w:rsidP="009F0EA3">
      <w:pPr>
        <w:pStyle w:val="Paragrafoelenc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0004F" w:rsidRDefault="004B1541" w:rsidP="00FF47BF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541">
        <w:rPr>
          <w:rFonts w:ascii="Times New Roman" w:eastAsia="Times New Roman" w:hAnsi="Times New Roman" w:cs="Times New Roman"/>
          <w:sz w:val="24"/>
          <w:szCs w:val="24"/>
        </w:rPr>
        <w:t>Beta spa</w:t>
      </w:r>
      <w:r w:rsidR="00D0004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1541">
        <w:rPr>
          <w:rFonts w:ascii="Times New Roman" w:eastAsia="Times New Roman" w:hAnsi="Times New Roman" w:cs="Times New Roman"/>
          <w:sz w:val="24"/>
          <w:szCs w:val="24"/>
        </w:rPr>
        <w:t xml:space="preserve"> impresa industriale che produce una vasta gamma di prodotti di arredo bagni</w:t>
      </w:r>
      <w:r w:rsidR="00D0004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9277E">
        <w:rPr>
          <w:rFonts w:ascii="Times New Roman" w:eastAsia="Times New Roman" w:hAnsi="Times New Roman" w:cs="Times New Roman"/>
          <w:sz w:val="24"/>
          <w:szCs w:val="24"/>
        </w:rPr>
        <w:t>opera su sei R</w:t>
      </w:r>
      <w:r w:rsidRPr="004B1541">
        <w:rPr>
          <w:rFonts w:ascii="Times New Roman" w:eastAsia="Times New Roman" w:hAnsi="Times New Roman" w:cs="Times New Roman"/>
          <w:sz w:val="24"/>
          <w:szCs w:val="24"/>
        </w:rPr>
        <w:t>egioni del territorio nazionale</w:t>
      </w:r>
      <w:r w:rsidR="00D0004F">
        <w:rPr>
          <w:rFonts w:ascii="Times New Roman" w:eastAsia="Times New Roman" w:hAnsi="Times New Roman" w:cs="Times New Roman"/>
          <w:sz w:val="24"/>
          <w:szCs w:val="24"/>
        </w:rPr>
        <w:t>. Il sistema informativo azie</w:t>
      </w:r>
      <w:r w:rsidR="009B71C9">
        <w:rPr>
          <w:rFonts w:ascii="Times New Roman" w:eastAsia="Times New Roman" w:hAnsi="Times New Roman" w:cs="Times New Roman"/>
          <w:sz w:val="24"/>
          <w:szCs w:val="24"/>
        </w:rPr>
        <w:t>n</w:t>
      </w:r>
      <w:r w:rsidR="00D0004F">
        <w:rPr>
          <w:rFonts w:ascii="Times New Roman" w:eastAsia="Times New Roman" w:hAnsi="Times New Roman" w:cs="Times New Roman"/>
          <w:sz w:val="24"/>
          <w:szCs w:val="24"/>
        </w:rPr>
        <w:t xml:space="preserve">dale prevede la redazione di report trimestrali sulle vendite per il controllo della programmazione. </w:t>
      </w:r>
      <w:r w:rsidR="00D0004F" w:rsidRPr="004B1541">
        <w:rPr>
          <w:rFonts w:ascii="Times New Roman" w:eastAsia="Times New Roman" w:hAnsi="Times New Roman" w:cs="Times New Roman"/>
          <w:sz w:val="24"/>
          <w:szCs w:val="24"/>
        </w:rPr>
        <w:t xml:space="preserve">Redigere i report, corredati da grafici e tabelle, dai quali si evidenzia </w:t>
      </w:r>
      <w:r w:rsidR="00D0004F">
        <w:rPr>
          <w:rFonts w:ascii="Times New Roman" w:eastAsia="Times New Roman" w:hAnsi="Times New Roman" w:cs="Times New Roman"/>
          <w:sz w:val="24"/>
          <w:szCs w:val="24"/>
        </w:rPr>
        <w:t>il confronto tra</w:t>
      </w:r>
      <w:r w:rsidR="00157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548" w:rsidRPr="00157548">
        <w:rPr>
          <w:rFonts w:ascii="Times New Roman" w:eastAsia="Times New Roman" w:hAnsi="Times New Roman" w:cs="Times New Roman"/>
          <w:color w:val="0070C0"/>
          <w:sz w:val="24"/>
          <w:szCs w:val="24"/>
        </w:rPr>
        <w:t>le</w:t>
      </w:r>
      <w:r w:rsidR="00D0004F" w:rsidRPr="00157548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="00D0004F" w:rsidRPr="004B1541">
        <w:rPr>
          <w:rFonts w:ascii="Times New Roman" w:eastAsia="Times New Roman" w:hAnsi="Times New Roman" w:cs="Times New Roman"/>
          <w:sz w:val="24"/>
          <w:szCs w:val="24"/>
        </w:rPr>
        <w:t>vendite effettivamente realizzate</w:t>
      </w:r>
      <w:r w:rsidR="009D4233">
        <w:rPr>
          <w:rFonts w:ascii="Times New Roman" w:eastAsia="Times New Roman" w:hAnsi="Times New Roman" w:cs="Times New Roman"/>
          <w:sz w:val="24"/>
          <w:szCs w:val="24"/>
        </w:rPr>
        <w:t>,</w:t>
      </w:r>
      <w:r w:rsidR="00D00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04F" w:rsidRPr="004B1541">
        <w:rPr>
          <w:rFonts w:ascii="Times New Roman" w:eastAsia="Times New Roman" w:hAnsi="Times New Roman" w:cs="Times New Roman"/>
          <w:sz w:val="24"/>
          <w:szCs w:val="24"/>
        </w:rPr>
        <w:t xml:space="preserve">quelle previste e </w:t>
      </w:r>
      <w:r w:rsidR="009D4233">
        <w:rPr>
          <w:rFonts w:ascii="Times New Roman" w:eastAsia="Times New Roman" w:hAnsi="Times New Roman" w:cs="Times New Roman"/>
          <w:sz w:val="24"/>
          <w:szCs w:val="24"/>
        </w:rPr>
        <w:t>quelle effett</w:t>
      </w:r>
      <w:r w:rsidR="00157548" w:rsidRPr="00157548">
        <w:rPr>
          <w:rFonts w:ascii="Times New Roman" w:eastAsia="Times New Roman" w:hAnsi="Times New Roman" w:cs="Times New Roman"/>
          <w:color w:val="0070C0"/>
          <w:sz w:val="24"/>
          <w:szCs w:val="24"/>
        </w:rPr>
        <w:t>u</w:t>
      </w:r>
      <w:r w:rsidR="009D4233">
        <w:rPr>
          <w:rFonts w:ascii="Times New Roman" w:eastAsia="Times New Roman" w:hAnsi="Times New Roman" w:cs="Times New Roman"/>
          <w:sz w:val="24"/>
          <w:szCs w:val="24"/>
        </w:rPr>
        <w:t>ate</w:t>
      </w:r>
      <w:r w:rsidR="00D0004F">
        <w:rPr>
          <w:rFonts w:ascii="Times New Roman" w:eastAsia="Times New Roman" w:hAnsi="Times New Roman" w:cs="Times New Roman"/>
          <w:sz w:val="24"/>
          <w:szCs w:val="24"/>
        </w:rPr>
        <w:t xml:space="preserve"> dalle imprese concorrenti ne</w:t>
      </w:r>
      <w:r w:rsidR="009B71C9">
        <w:rPr>
          <w:rFonts w:ascii="Times New Roman" w:eastAsia="Times New Roman" w:hAnsi="Times New Roman" w:cs="Times New Roman"/>
          <w:sz w:val="24"/>
          <w:szCs w:val="24"/>
        </w:rPr>
        <w:t>lle diverse zone</w:t>
      </w:r>
      <w:r w:rsidR="00D0004F">
        <w:rPr>
          <w:rFonts w:ascii="Times New Roman" w:eastAsia="Times New Roman" w:hAnsi="Times New Roman" w:cs="Times New Roman"/>
          <w:sz w:val="24"/>
          <w:szCs w:val="24"/>
        </w:rPr>
        <w:t xml:space="preserve"> in cui opera la società</w:t>
      </w:r>
      <w:r w:rsidR="009B71C9">
        <w:rPr>
          <w:rFonts w:ascii="Times New Roman" w:eastAsia="Times New Roman" w:hAnsi="Times New Roman" w:cs="Times New Roman"/>
          <w:sz w:val="24"/>
          <w:szCs w:val="24"/>
        </w:rPr>
        <w:t>,</w:t>
      </w:r>
      <w:r w:rsidR="00D0004F">
        <w:rPr>
          <w:rFonts w:ascii="Times New Roman" w:eastAsia="Times New Roman" w:hAnsi="Times New Roman" w:cs="Times New Roman"/>
          <w:sz w:val="24"/>
          <w:szCs w:val="24"/>
        </w:rPr>
        <w:t xml:space="preserve"> da inviare</w:t>
      </w:r>
      <w:r w:rsidR="009D423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0004F" w:rsidRDefault="00D0004F" w:rsidP="009D4233">
      <w:pPr>
        <w:pStyle w:val="Paragrafoelenco"/>
        <w:numPr>
          <w:ilvl w:val="1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 management per il controllo di gestione;</w:t>
      </w:r>
    </w:p>
    <w:p w:rsidR="00FF47BF" w:rsidRDefault="009B71C9" w:rsidP="009D4233">
      <w:pPr>
        <w:pStyle w:val="Paragrafoelenco"/>
        <w:numPr>
          <w:ilvl w:val="1"/>
          <w:numId w:val="3"/>
        </w:num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agli agenti di vendita, delle diverse zone, per informarli sui risultati raggiunti</w:t>
      </w:r>
      <w:r w:rsidR="004B1541" w:rsidRPr="004B1541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15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40A0" w:rsidRPr="002340A0" w:rsidRDefault="002340A0" w:rsidP="002340A0">
      <w:pPr>
        <w:spacing w:after="0"/>
        <w:ind w:left="3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407C" w:rsidRDefault="00D3407C" w:rsidP="00D3407C">
      <w:pPr>
        <w:pStyle w:val="Paragrafoelenco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407C" w:rsidRDefault="00D3407C" w:rsidP="00D3407C">
      <w:pPr>
        <w:pStyle w:val="Paragrafoelenco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4E" w:rsidRDefault="00600D4E" w:rsidP="00600D4E">
      <w:pPr>
        <w:pStyle w:val="Paragrafoelenco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4E" w:rsidRPr="00600D4E" w:rsidRDefault="00600D4E" w:rsidP="00600D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90D" w:rsidRPr="00DE3B78" w:rsidRDefault="0015290D" w:rsidP="0015290D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4429">
        <w:rPr>
          <w:rFonts w:ascii="Times New Roman" w:eastAsia="Times New Roman" w:hAnsi="Times New Roman" w:cs="Times New Roman"/>
          <w:sz w:val="24"/>
          <w:szCs w:val="24"/>
        </w:rPr>
        <w:t xml:space="preserve">Gamma spa, impresa industriale riceve, nell’esercizio 2014, la richiesta di una fornitura di 60.000 unità del prodotto GFDR65 a un prezzo ridotto rispetto all’attuale prezzo di vendita. La struttura produttiva interna, attualmente </w:t>
      </w:r>
      <w:r w:rsidR="00AD3737">
        <w:rPr>
          <w:rFonts w:ascii="Times New Roman" w:eastAsia="Times New Roman" w:hAnsi="Times New Roman" w:cs="Times New Roman"/>
          <w:sz w:val="24"/>
          <w:szCs w:val="24"/>
        </w:rPr>
        <w:t>non interamente utilizzata</w:t>
      </w:r>
      <w:r w:rsidRPr="00624429">
        <w:rPr>
          <w:rFonts w:ascii="Times New Roman" w:eastAsia="Times New Roman" w:hAnsi="Times New Roman" w:cs="Times New Roman"/>
          <w:sz w:val="24"/>
          <w:szCs w:val="24"/>
        </w:rPr>
        <w:t xml:space="preserve">, non consente la realizzazione dell’intera produzione aggiuntiva. Analizzare la situazione aziendale e redigere il report dal quale emerga la soluzione ritenuta economicamente più conveniente per soddisfare 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richiesta </w:t>
      </w:r>
      <w:r w:rsidRPr="00DE3B78">
        <w:rPr>
          <w:rFonts w:ascii="Times New Roman" w:eastAsia="Times New Roman" w:hAnsi="Times New Roman" w:cs="Times New Roman"/>
          <w:sz w:val="24"/>
          <w:szCs w:val="24"/>
        </w:rPr>
        <w:t>valuta</w:t>
      </w:r>
      <w:r>
        <w:rPr>
          <w:rFonts w:ascii="Times New Roman" w:eastAsia="Times New Roman" w:hAnsi="Times New Roman" w:cs="Times New Roman"/>
          <w:sz w:val="24"/>
          <w:szCs w:val="24"/>
        </w:rPr>
        <w:t>ndo l</w:t>
      </w:r>
      <w:r w:rsidRPr="00DE3B78">
        <w:rPr>
          <w:rFonts w:ascii="Times New Roman" w:eastAsia="Times New Roman" w:hAnsi="Times New Roman" w:cs="Times New Roman"/>
          <w:sz w:val="24"/>
          <w:szCs w:val="24"/>
        </w:rPr>
        <w:t>a possibilità di:</w:t>
      </w:r>
    </w:p>
    <w:p w:rsidR="0015290D" w:rsidRPr="008E4140" w:rsidRDefault="0015290D" w:rsidP="0015290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140">
        <w:rPr>
          <w:rFonts w:ascii="Times New Roman" w:hAnsi="Times New Roman" w:cs="Times New Roman"/>
          <w:sz w:val="24"/>
          <w:szCs w:val="24"/>
        </w:rPr>
        <w:t>esternalizzare interamente la produzione aggiuntiva</w:t>
      </w:r>
    </w:p>
    <w:p w:rsidR="0015290D" w:rsidRPr="008E4140" w:rsidRDefault="0015290D" w:rsidP="0015290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140">
        <w:rPr>
          <w:rFonts w:ascii="Times New Roman" w:hAnsi="Times New Roman" w:cs="Times New Roman"/>
          <w:sz w:val="24"/>
          <w:szCs w:val="24"/>
        </w:rPr>
        <w:t xml:space="preserve">acquisire impianti e assumere personale per realizzare internamente la maggiore produzione </w:t>
      </w:r>
    </w:p>
    <w:p w:rsidR="00C1606D" w:rsidRPr="00CF3FDA" w:rsidRDefault="0015290D" w:rsidP="00F761F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FDA">
        <w:rPr>
          <w:rFonts w:ascii="Times New Roman" w:hAnsi="Times New Roman" w:cs="Times New Roman"/>
          <w:sz w:val="24"/>
          <w:szCs w:val="24"/>
        </w:rPr>
        <w:t>realizzare al proprio interno parte della produzione, sfruttando la capacità produttiva residua, ed esternalizzare la produzione mancante.</w:t>
      </w:r>
    </w:p>
    <w:p w:rsidR="00F761FC" w:rsidRDefault="00F761FC" w:rsidP="00F761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0048" w:rsidRDefault="00740048" w:rsidP="00F761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Dati mancanti opportunamente scelti.</w:t>
      </w:r>
    </w:p>
    <w:p w:rsidR="00F761FC" w:rsidRPr="00F761FC" w:rsidRDefault="00F761FC" w:rsidP="00F761FC">
      <w:pPr>
        <w:pStyle w:val="Pidipagina"/>
        <w:tabs>
          <w:tab w:val="left" w:pos="708"/>
        </w:tabs>
        <w:rPr>
          <w:sz w:val="12"/>
          <w:szCs w:val="12"/>
        </w:rPr>
      </w:pPr>
      <w:r w:rsidRPr="00F761FC">
        <w:rPr>
          <w:sz w:val="12"/>
          <w:szCs w:val="12"/>
        </w:rPr>
        <w:t>______________</w:t>
      </w:r>
    </w:p>
    <w:p w:rsidR="00F761FC" w:rsidRDefault="00F761FC" w:rsidP="00F761FC">
      <w:pPr>
        <w:spacing w:after="0" w:line="240" w:lineRule="auto"/>
        <w:rPr>
          <w:sz w:val="10"/>
        </w:rPr>
      </w:pPr>
    </w:p>
    <w:p w:rsidR="00F761FC" w:rsidRDefault="00F761FC" w:rsidP="00F761FC">
      <w:pPr>
        <w:spacing w:after="0" w:line="240" w:lineRule="auto"/>
        <w:rPr>
          <w:sz w:val="20"/>
        </w:rPr>
      </w:pPr>
      <w:r>
        <w:rPr>
          <w:sz w:val="20"/>
        </w:rPr>
        <w:t>Durata della prova sei ore.</w:t>
      </w:r>
    </w:p>
    <w:p w:rsidR="00F761FC" w:rsidRDefault="00F761FC" w:rsidP="00F761FC">
      <w:pPr>
        <w:spacing w:after="0" w:line="240" w:lineRule="auto"/>
        <w:rPr>
          <w:sz w:val="20"/>
        </w:rPr>
      </w:pPr>
      <w:r>
        <w:rPr>
          <w:sz w:val="20"/>
        </w:rPr>
        <w:t>Sono consentiti la consultazione del Codice Civile non commentato e l’uso di calcolatrici tascabili non programmabili.</w:t>
      </w:r>
    </w:p>
    <w:p w:rsidR="00F761FC" w:rsidRPr="00740048" w:rsidRDefault="00F761FC" w:rsidP="00F76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0"/>
        </w:rPr>
        <w:t>Non è consentito lasciare l’Istituto prima che siano trascorse tre ore dalla dettatura del tema.</w:t>
      </w:r>
    </w:p>
    <w:sectPr w:rsidR="00F761FC" w:rsidRPr="00740048" w:rsidSect="00AD4CE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58B" w:rsidRDefault="009C158B" w:rsidP="002323B1">
      <w:pPr>
        <w:spacing w:after="0" w:line="240" w:lineRule="auto"/>
      </w:pPr>
      <w:r>
        <w:separator/>
      </w:r>
    </w:p>
  </w:endnote>
  <w:endnote w:type="continuationSeparator" w:id="0">
    <w:p w:rsidR="009C158B" w:rsidRDefault="009C158B" w:rsidP="0023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58B" w:rsidRDefault="009C158B" w:rsidP="002323B1">
      <w:pPr>
        <w:spacing w:after="0" w:line="240" w:lineRule="auto"/>
      </w:pPr>
      <w:r>
        <w:separator/>
      </w:r>
    </w:p>
  </w:footnote>
  <w:footnote w:type="continuationSeparator" w:id="0">
    <w:p w:rsidR="009C158B" w:rsidRDefault="009C158B" w:rsidP="00232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1" w:rsidRDefault="002323B1" w:rsidP="002323B1">
    <w:pPr>
      <w:pStyle w:val="Intestazione"/>
    </w:pPr>
    <w:r>
      <w:t>ISTITUTI TECNICI                                                                                                                            settore   ECONOMICO</w:t>
    </w:r>
  </w:p>
  <w:p w:rsidR="002323B1" w:rsidRDefault="009F0EA3" w:rsidP="002323B1">
    <w:pPr>
      <w:pStyle w:val="Intestazione"/>
      <w:jc w:val="center"/>
    </w:pPr>
    <w:r>
      <w:t xml:space="preserve">Simulazione </w:t>
    </w:r>
    <w:r w:rsidR="002323B1">
      <w:t>seconda prova</w:t>
    </w:r>
  </w:p>
  <w:p w:rsidR="002323B1" w:rsidRDefault="002323B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06F9"/>
    <w:multiLevelType w:val="hybridMultilevel"/>
    <w:tmpl w:val="226E4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73D3B"/>
    <w:multiLevelType w:val="hybridMultilevel"/>
    <w:tmpl w:val="7BC24C46"/>
    <w:lvl w:ilvl="0" w:tplc="F71805F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51B41CC"/>
    <w:multiLevelType w:val="hybridMultilevel"/>
    <w:tmpl w:val="593A7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B2ECB"/>
    <w:multiLevelType w:val="hybridMultilevel"/>
    <w:tmpl w:val="DB143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770D66"/>
    <w:multiLevelType w:val="hybridMultilevel"/>
    <w:tmpl w:val="5A34E9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D203300"/>
    <w:multiLevelType w:val="hybridMultilevel"/>
    <w:tmpl w:val="82D0C9A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B7442F"/>
    <w:multiLevelType w:val="hybridMultilevel"/>
    <w:tmpl w:val="F7923A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C75FE"/>
    <w:multiLevelType w:val="hybridMultilevel"/>
    <w:tmpl w:val="A04E56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3F2EF3"/>
    <w:multiLevelType w:val="hybridMultilevel"/>
    <w:tmpl w:val="A06A7134"/>
    <w:lvl w:ilvl="0" w:tplc="E9F61DB0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55B"/>
    <w:rsid w:val="00022961"/>
    <w:rsid w:val="000710A6"/>
    <w:rsid w:val="0009277E"/>
    <w:rsid w:val="000A1C64"/>
    <w:rsid w:val="00103DCE"/>
    <w:rsid w:val="001047B6"/>
    <w:rsid w:val="0015290D"/>
    <w:rsid w:val="00157548"/>
    <w:rsid w:val="00176192"/>
    <w:rsid w:val="00224D42"/>
    <w:rsid w:val="002323B1"/>
    <w:rsid w:val="002340A0"/>
    <w:rsid w:val="002962E5"/>
    <w:rsid w:val="00370124"/>
    <w:rsid w:val="003C055B"/>
    <w:rsid w:val="00436D6D"/>
    <w:rsid w:val="004B1541"/>
    <w:rsid w:val="004E33B1"/>
    <w:rsid w:val="00505447"/>
    <w:rsid w:val="005C59DF"/>
    <w:rsid w:val="005E0A75"/>
    <w:rsid w:val="00600D4E"/>
    <w:rsid w:val="00624429"/>
    <w:rsid w:val="00736BFF"/>
    <w:rsid w:val="00740048"/>
    <w:rsid w:val="008A4333"/>
    <w:rsid w:val="008E4140"/>
    <w:rsid w:val="00901A80"/>
    <w:rsid w:val="00917923"/>
    <w:rsid w:val="00953A9B"/>
    <w:rsid w:val="009B71C9"/>
    <w:rsid w:val="009C158B"/>
    <w:rsid w:val="009D4233"/>
    <w:rsid w:val="009F0EA3"/>
    <w:rsid w:val="00A175D8"/>
    <w:rsid w:val="00A710FB"/>
    <w:rsid w:val="00A97610"/>
    <w:rsid w:val="00AD3737"/>
    <w:rsid w:val="00AD4CED"/>
    <w:rsid w:val="00AE74F5"/>
    <w:rsid w:val="00BA0BE6"/>
    <w:rsid w:val="00BE2585"/>
    <w:rsid w:val="00C1260F"/>
    <w:rsid w:val="00C1606D"/>
    <w:rsid w:val="00CA63D4"/>
    <w:rsid w:val="00CF3FDA"/>
    <w:rsid w:val="00D0004F"/>
    <w:rsid w:val="00D120CD"/>
    <w:rsid w:val="00D3407C"/>
    <w:rsid w:val="00D4097D"/>
    <w:rsid w:val="00D65AE6"/>
    <w:rsid w:val="00DA1ACF"/>
    <w:rsid w:val="00DC228E"/>
    <w:rsid w:val="00DE3B78"/>
    <w:rsid w:val="00E02025"/>
    <w:rsid w:val="00E56C22"/>
    <w:rsid w:val="00EB7012"/>
    <w:rsid w:val="00EC26DD"/>
    <w:rsid w:val="00F16F2B"/>
    <w:rsid w:val="00F761FC"/>
    <w:rsid w:val="00FF47BF"/>
    <w:rsid w:val="00FF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DE3B7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7610"/>
    <w:pPr>
      <w:ind w:left="720"/>
      <w:contextualSpacing/>
    </w:pPr>
  </w:style>
  <w:style w:type="table" w:styleId="Grigliatabella">
    <w:name w:val="Table Grid"/>
    <w:basedOn w:val="Tabellanormale"/>
    <w:uiPriority w:val="59"/>
    <w:rsid w:val="00BE2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ssunaspaziatura1">
    <w:name w:val="Nessuna spaziatura1"/>
    <w:rsid w:val="00224D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grafoelenco1">
    <w:name w:val="Paragrafo elenco1"/>
    <w:basedOn w:val="Normale"/>
    <w:rsid w:val="00C1606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itolo4Carattere">
    <w:name w:val="Titolo 4 Carattere"/>
    <w:basedOn w:val="Carpredefinitoparagrafo"/>
    <w:link w:val="Titolo4"/>
    <w:rsid w:val="00DE3B78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323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23B1"/>
  </w:style>
  <w:style w:type="paragraph" w:styleId="Pidipagina">
    <w:name w:val="footer"/>
    <w:basedOn w:val="Normale"/>
    <w:link w:val="PidipaginaCarattere"/>
    <w:unhideWhenUsed/>
    <w:rsid w:val="002323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323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2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2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DE3B7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7610"/>
    <w:pPr>
      <w:ind w:left="720"/>
      <w:contextualSpacing/>
    </w:pPr>
  </w:style>
  <w:style w:type="table" w:styleId="Grigliatabella">
    <w:name w:val="Table Grid"/>
    <w:basedOn w:val="Tabellanormale"/>
    <w:uiPriority w:val="59"/>
    <w:rsid w:val="00BE2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ssunaspaziatura1">
    <w:name w:val="Nessuna spaziatura1"/>
    <w:rsid w:val="00224D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grafoelenco1">
    <w:name w:val="Paragrafo elenco1"/>
    <w:basedOn w:val="Normale"/>
    <w:rsid w:val="00C1606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itolo4Carattere">
    <w:name w:val="Titolo 4 Carattere"/>
    <w:basedOn w:val="Carpredefinitoparagrafo"/>
    <w:link w:val="Titolo4"/>
    <w:rsid w:val="00DE3B78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323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23B1"/>
  </w:style>
  <w:style w:type="paragraph" w:styleId="Pidipagina">
    <w:name w:val="footer"/>
    <w:basedOn w:val="Normale"/>
    <w:link w:val="PidipaginaCarattere"/>
    <w:unhideWhenUsed/>
    <w:rsid w:val="002323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323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2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23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cagliero</dc:creator>
  <cp:lastModifiedBy>Administrator</cp:lastModifiedBy>
  <cp:revision>12</cp:revision>
  <cp:lastPrinted>2015-02-26T14:57:00Z</cp:lastPrinted>
  <dcterms:created xsi:type="dcterms:W3CDTF">2015-03-02T09:19:00Z</dcterms:created>
  <dcterms:modified xsi:type="dcterms:W3CDTF">2015-03-30T17:33:00Z</dcterms:modified>
</cp:coreProperties>
</file>