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CB4" w:rsidRDefault="00A94CB4" w:rsidP="00987A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7F2" w:rsidRDefault="00FF27F2" w:rsidP="00987A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7F2" w:rsidRPr="00356499" w:rsidRDefault="00FF27F2" w:rsidP="00FF27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499">
        <w:rPr>
          <w:rFonts w:ascii="Times New Roman" w:hAnsi="Times New Roman" w:cs="Times New Roman"/>
          <w:b/>
          <w:sz w:val="24"/>
          <w:szCs w:val="24"/>
        </w:rPr>
        <w:t>ESAME DI STATO DI ISTITUTO TECNICO   Settore ECONOMICO</w:t>
      </w:r>
    </w:p>
    <w:p w:rsidR="00FF27F2" w:rsidRDefault="00FF27F2" w:rsidP="00987A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Indicazioni relative agli Esempi di prova</w:t>
      </w:r>
    </w:p>
    <w:p w:rsidR="00312A92" w:rsidRPr="00FF27F2" w:rsidRDefault="00AB20A4" w:rsidP="00987AC2">
      <w:pPr>
        <w:jc w:val="both"/>
        <w:rPr>
          <w:rFonts w:ascii="Times New Roman" w:hAnsi="Times New Roman" w:cs="Times New Roman"/>
          <w:sz w:val="24"/>
          <w:szCs w:val="24"/>
        </w:rPr>
      </w:pPr>
      <w:r w:rsidRPr="00FF27F2">
        <w:rPr>
          <w:rFonts w:ascii="Times New Roman" w:hAnsi="Times New Roman" w:cs="Times New Roman"/>
          <w:sz w:val="24"/>
          <w:szCs w:val="24"/>
        </w:rPr>
        <w:t xml:space="preserve">La tipologia di prove relative </w:t>
      </w:r>
      <w:r w:rsidR="00FF27F2" w:rsidRPr="00FF27F2">
        <w:rPr>
          <w:rFonts w:ascii="Times New Roman" w:hAnsi="Times New Roman" w:cs="Times New Roman"/>
          <w:sz w:val="24"/>
          <w:szCs w:val="24"/>
        </w:rPr>
        <w:t>agli esempi</w:t>
      </w:r>
      <w:r w:rsidRPr="00FF27F2">
        <w:rPr>
          <w:rFonts w:ascii="Times New Roman" w:hAnsi="Times New Roman" w:cs="Times New Roman"/>
          <w:sz w:val="24"/>
          <w:szCs w:val="24"/>
        </w:rPr>
        <w:t xml:space="preserve"> presentat</w:t>
      </w:r>
      <w:r w:rsidR="00FF27F2" w:rsidRPr="00FF27F2">
        <w:rPr>
          <w:rFonts w:ascii="Times New Roman" w:hAnsi="Times New Roman" w:cs="Times New Roman"/>
          <w:sz w:val="24"/>
          <w:szCs w:val="24"/>
        </w:rPr>
        <w:t>i</w:t>
      </w:r>
      <w:r w:rsidRPr="00FF27F2">
        <w:rPr>
          <w:rFonts w:ascii="Times New Roman" w:hAnsi="Times New Roman" w:cs="Times New Roman"/>
          <w:sz w:val="24"/>
          <w:szCs w:val="24"/>
        </w:rPr>
        <w:t xml:space="preserve"> si caratterizza in una logica di continuità con le prove dei precedenti percorsi formativi confluiti nell’Istruzione Tecnica Settore Economico a conferma dell’evoluzione delle sperimentazioni in ordinamenti e</w:t>
      </w:r>
      <w:r w:rsidR="001C3E93" w:rsidRPr="00FF27F2">
        <w:rPr>
          <w:rFonts w:ascii="Times New Roman" w:hAnsi="Times New Roman" w:cs="Times New Roman"/>
          <w:sz w:val="24"/>
          <w:szCs w:val="24"/>
        </w:rPr>
        <w:t xml:space="preserve"> </w:t>
      </w:r>
      <w:r w:rsidRPr="00FF27F2">
        <w:rPr>
          <w:rFonts w:ascii="Times New Roman" w:hAnsi="Times New Roman" w:cs="Times New Roman"/>
          <w:sz w:val="24"/>
          <w:szCs w:val="24"/>
        </w:rPr>
        <w:t xml:space="preserve"> nell’attuale riordino.</w:t>
      </w:r>
    </w:p>
    <w:p w:rsidR="00AB20A4" w:rsidRPr="00FF27F2" w:rsidRDefault="00AB20A4" w:rsidP="00987AC2">
      <w:pPr>
        <w:jc w:val="both"/>
        <w:rPr>
          <w:rFonts w:ascii="Times New Roman" w:hAnsi="Times New Roman" w:cs="Times New Roman"/>
          <w:sz w:val="24"/>
          <w:szCs w:val="24"/>
        </w:rPr>
      </w:pPr>
      <w:r w:rsidRPr="00FF27F2">
        <w:rPr>
          <w:rFonts w:ascii="Times New Roman" w:hAnsi="Times New Roman" w:cs="Times New Roman"/>
          <w:sz w:val="24"/>
          <w:szCs w:val="24"/>
        </w:rPr>
        <w:t>Tutto ciò è confermato dalle prove assegnate negli anni precedenti che già prevedevano tipologie quali quelle indicate dalla Circolare Ministeriale n.</w:t>
      </w:r>
      <w:r w:rsidR="0043135D" w:rsidRPr="00FF27F2">
        <w:rPr>
          <w:rFonts w:ascii="Times New Roman" w:hAnsi="Times New Roman" w:cs="Times New Roman"/>
          <w:sz w:val="24"/>
          <w:szCs w:val="24"/>
        </w:rPr>
        <w:t xml:space="preserve"> 758 del 29/1/</w:t>
      </w:r>
      <w:r w:rsidRPr="00FF27F2">
        <w:rPr>
          <w:rFonts w:ascii="Times New Roman" w:hAnsi="Times New Roman" w:cs="Times New Roman"/>
          <w:sz w:val="24"/>
          <w:szCs w:val="24"/>
        </w:rPr>
        <w:t>2015</w:t>
      </w:r>
      <w:r w:rsidR="0043135D" w:rsidRPr="00FF27F2">
        <w:rPr>
          <w:rFonts w:ascii="Times New Roman" w:hAnsi="Times New Roman" w:cs="Times New Roman"/>
          <w:sz w:val="24"/>
          <w:szCs w:val="24"/>
        </w:rPr>
        <w:t>.</w:t>
      </w:r>
    </w:p>
    <w:p w:rsidR="00A94CB4" w:rsidRPr="00FF27F2" w:rsidRDefault="00FF27F2" w:rsidP="00987AC2">
      <w:pPr>
        <w:jc w:val="both"/>
        <w:rPr>
          <w:rFonts w:ascii="Times New Roman" w:hAnsi="Times New Roman" w:cs="Times New Roman"/>
          <w:sz w:val="24"/>
          <w:szCs w:val="24"/>
        </w:rPr>
      </w:pPr>
      <w:r w:rsidRPr="00FF27F2">
        <w:rPr>
          <w:rFonts w:ascii="Times New Roman" w:hAnsi="Times New Roman" w:cs="Times New Roman"/>
          <w:sz w:val="24"/>
          <w:szCs w:val="24"/>
        </w:rPr>
        <w:t>Gli esempi di prove proposti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sono stat</w:t>
      </w:r>
      <w:r w:rsidRPr="00FF27F2">
        <w:rPr>
          <w:rFonts w:ascii="Times New Roman" w:hAnsi="Times New Roman" w:cs="Times New Roman"/>
          <w:sz w:val="24"/>
          <w:szCs w:val="24"/>
        </w:rPr>
        <w:t>i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elaborat</w:t>
      </w:r>
      <w:r w:rsidRPr="00FF27F2">
        <w:rPr>
          <w:rFonts w:ascii="Times New Roman" w:hAnsi="Times New Roman" w:cs="Times New Roman"/>
          <w:sz w:val="24"/>
          <w:szCs w:val="24"/>
        </w:rPr>
        <w:t>i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partendo dall’utilizzo della prima tipologia prevista dalla </w:t>
      </w:r>
      <w:r w:rsidR="0043135D" w:rsidRPr="00FF27F2">
        <w:rPr>
          <w:rFonts w:ascii="Times New Roman" w:hAnsi="Times New Roman" w:cs="Times New Roman"/>
          <w:sz w:val="24"/>
          <w:szCs w:val="24"/>
        </w:rPr>
        <w:t>citata circolare</w:t>
      </w:r>
      <w:r w:rsidR="00C24573" w:rsidRPr="00FF27F2">
        <w:rPr>
          <w:rFonts w:ascii="Times New Roman" w:hAnsi="Times New Roman" w:cs="Times New Roman"/>
          <w:sz w:val="24"/>
          <w:szCs w:val="24"/>
        </w:rPr>
        <w:t>: “Analisi di testi e documenti economici attinenti al percorso di studio”. In particolare il documento</w:t>
      </w:r>
      <w:r w:rsidR="001C3E93" w:rsidRPr="00FF27F2">
        <w:rPr>
          <w:rFonts w:ascii="Times New Roman" w:hAnsi="Times New Roman" w:cs="Times New Roman"/>
          <w:sz w:val="24"/>
          <w:szCs w:val="24"/>
        </w:rPr>
        <w:t xml:space="preserve"> da analizzare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è rappresentato dalla Nota integrativa</w:t>
      </w:r>
      <w:r w:rsidR="00D840CE" w:rsidRPr="00FF27F2">
        <w:rPr>
          <w:rFonts w:ascii="Times New Roman" w:hAnsi="Times New Roman" w:cs="Times New Roman"/>
          <w:sz w:val="24"/>
          <w:szCs w:val="24"/>
        </w:rPr>
        <w:t xml:space="preserve"> al Bilancio di una </w:t>
      </w:r>
      <w:proofErr w:type="spellStart"/>
      <w:r w:rsidR="00D840CE" w:rsidRPr="00FF27F2">
        <w:rPr>
          <w:rFonts w:ascii="Times New Roman" w:hAnsi="Times New Roman" w:cs="Times New Roman"/>
          <w:sz w:val="24"/>
          <w:szCs w:val="24"/>
        </w:rPr>
        <w:t>s.p.a.</w:t>
      </w:r>
      <w:proofErr w:type="spellEnd"/>
      <w:r w:rsidR="00D840CE" w:rsidRPr="00FF27F2">
        <w:rPr>
          <w:rFonts w:ascii="Times New Roman" w:hAnsi="Times New Roman" w:cs="Times New Roman"/>
          <w:sz w:val="24"/>
          <w:szCs w:val="24"/>
        </w:rPr>
        <w:t xml:space="preserve"> 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da cui sono stati tratti alcuni stralci. </w:t>
      </w:r>
    </w:p>
    <w:p w:rsidR="00C24573" w:rsidRPr="00FF27F2" w:rsidRDefault="00A94CB4" w:rsidP="00987AC2">
      <w:pPr>
        <w:jc w:val="both"/>
        <w:rPr>
          <w:rFonts w:ascii="Times New Roman" w:hAnsi="Times New Roman" w:cs="Times New Roman"/>
          <w:sz w:val="24"/>
          <w:szCs w:val="24"/>
        </w:rPr>
      </w:pPr>
      <w:r w:rsidRPr="00FF27F2">
        <w:rPr>
          <w:rFonts w:ascii="Times New Roman" w:hAnsi="Times New Roman" w:cs="Times New Roman"/>
          <w:sz w:val="24"/>
          <w:szCs w:val="24"/>
        </w:rPr>
        <w:t>È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da sottolineare come uno stesso testo possa </w:t>
      </w:r>
      <w:r w:rsidR="001C3E93" w:rsidRPr="00FF27F2">
        <w:rPr>
          <w:rFonts w:ascii="Times New Roman" w:hAnsi="Times New Roman" w:cs="Times New Roman"/>
          <w:sz w:val="24"/>
          <w:szCs w:val="24"/>
        </w:rPr>
        <w:t xml:space="preserve">essere utilizzato </w:t>
      </w:r>
      <w:r w:rsidR="00C24573" w:rsidRPr="00FF27F2">
        <w:rPr>
          <w:rFonts w:ascii="Times New Roman" w:hAnsi="Times New Roman" w:cs="Times New Roman"/>
          <w:sz w:val="24"/>
          <w:szCs w:val="24"/>
        </w:rPr>
        <w:t xml:space="preserve"> per costruire </w:t>
      </w:r>
      <w:r w:rsidR="00FF27F2" w:rsidRPr="00FF27F2">
        <w:rPr>
          <w:rFonts w:ascii="Times New Roman" w:hAnsi="Times New Roman" w:cs="Times New Roman"/>
          <w:sz w:val="24"/>
          <w:szCs w:val="24"/>
        </w:rPr>
        <w:t>esempi di prove relativi a</w:t>
      </w:r>
      <w:r w:rsidR="00312A92" w:rsidRPr="00FF27F2">
        <w:rPr>
          <w:rFonts w:ascii="Times New Roman" w:hAnsi="Times New Roman" w:cs="Times New Roman"/>
          <w:sz w:val="24"/>
          <w:szCs w:val="24"/>
        </w:rPr>
        <w:t xml:space="preserve"> </w:t>
      </w:r>
      <w:r w:rsidR="00C24573" w:rsidRPr="00FF27F2">
        <w:rPr>
          <w:rFonts w:ascii="Times New Roman" w:hAnsi="Times New Roman" w:cs="Times New Roman"/>
          <w:sz w:val="24"/>
          <w:szCs w:val="24"/>
        </w:rPr>
        <w:t>percorsi operativi di diversa difficoltà</w:t>
      </w:r>
      <w:r w:rsidR="001C3E93" w:rsidRPr="00FF27F2">
        <w:rPr>
          <w:rFonts w:ascii="Times New Roman" w:hAnsi="Times New Roman" w:cs="Times New Roman"/>
          <w:sz w:val="24"/>
          <w:szCs w:val="24"/>
        </w:rPr>
        <w:t xml:space="preserve"> graduando e calibrando le richieste da formulare agli alunni</w:t>
      </w:r>
      <w:r w:rsidR="00C24573" w:rsidRPr="00FF27F2">
        <w:rPr>
          <w:rFonts w:ascii="Times New Roman" w:hAnsi="Times New Roman" w:cs="Times New Roman"/>
          <w:sz w:val="24"/>
          <w:szCs w:val="24"/>
        </w:rPr>
        <w:t>.</w:t>
      </w:r>
    </w:p>
    <w:p w:rsidR="00C24573" w:rsidRPr="00FF27F2" w:rsidRDefault="00C24573" w:rsidP="00987AC2">
      <w:pPr>
        <w:jc w:val="both"/>
        <w:rPr>
          <w:rFonts w:ascii="Times New Roman" w:hAnsi="Times New Roman" w:cs="Times New Roman"/>
          <w:sz w:val="24"/>
          <w:szCs w:val="24"/>
        </w:rPr>
      </w:pPr>
      <w:r w:rsidRPr="00FF27F2">
        <w:rPr>
          <w:rFonts w:ascii="Times New Roman" w:hAnsi="Times New Roman" w:cs="Times New Roman"/>
          <w:sz w:val="24"/>
          <w:szCs w:val="24"/>
        </w:rPr>
        <w:t xml:space="preserve">Nelle ipotesi proposte, infatti, le richieste operative e i quesiti risultano diverse tra la proposta per l’indirizzo Amministrazione, Finanza e Marketing e l’articolazione Relazioni Internazionali e Marketing. Ciò è dovuto </w:t>
      </w:r>
      <w:r w:rsidR="00D04700" w:rsidRPr="00FF27F2">
        <w:rPr>
          <w:rFonts w:ascii="Times New Roman" w:hAnsi="Times New Roman" w:cs="Times New Roman"/>
          <w:sz w:val="24"/>
          <w:szCs w:val="24"/>
        </w:rPr>
        <w:t>al</w:t>
      </w:r>
      <w:r w:rsidRPr="00FF27F2">
        <w:rPr>
          <w:rFonts w:ascii="Times New Roman" w:hAnsi="Times New Roman" w:cs="Times New Roman"/>
          <w:sz w:val="24"/>
          <w:szCs w:val="24"/>
        </w:rPr>
        <w:t xml:space="preserve"> </w:t>
      </w:r>
      <w:r w:rsidR="00A94CB4" w:rsidRPr="00FF27F2">
        <w:rPr>
          <w:rFonts w:ascii="Times New Roman" w:hAnsi="Times New Roman" w:cs="Times New Roman"/>
          <w:sz w:val="24"/>
          <w:szCs w:val="24"/>
        </w:rPr>
        <w:t>minor numero di ore di E</w:t>
      </w:r>
      <w:r w:rsidRPr="00FF27F2">
        <w:rPr>
          <w:rFonts w:ascii="Times New Roman" w:hAnsi="Times New Roman" w:cs="Times New Roman"/>
          <w:sz w:val="24"/>
          <w:szCs w:val="24"/>
        </w:rPr>
        <w:t>conomia aziendale e geo</w:t>
      </w:r>
      <w:r w:rsidR="00A94CB4" w:rsidRPr="00FF27F2">
        <w:rPr>
          <w:rFonts w:ascii="Times New Roman" w:hAnsi="Times New Roman" w:cs="Times New Roman"/>
          <w:sz w:val="24"/>
          <w:szCs w:val="24"/>
        </w:rPr>
        <w:t>-politica rispetto a quelle di E</w:t>
      </w:r>
      <w:r w:rsidRPr="00FF27F2">
        <w:rPr>
          <w:rFonts w:ascii="Times New Roman" w:hAnsi="Times New Roman" w:cs="Times New Roman"/>
          <w:sz w:val="24"/>
          <w:szCs w:val="24"/>
        </w:rPr>
        <w:t>conomia aziendale dell’indirizzo Amministrazione, Finanza e Marketing</w:t>
      </w:r>
      <w:r w:rsidR="00987AC2" w:rsidRPr="00FF27F2">
        <w:rPr>
          <w:rFonts w:ascii="Times New Roman" w:hAnsi="Times New Roman" w:cs="Times New Roman"/>
          <w:sz w:val="24"/>
          <w:szCs w:val="24"/>
        </w:rPr>
        <w:t xml:space="preserve"> nonostante la coincidenza di alcune competenze, abilità e conoscenze.</w:t>
      </w:r>
    </w:p>
    <w:p w:rsidR="00C24573" w:rsidRPr="00FF27F2" w:rsidRDefault="00C24573" w:rsidP="00987AC2">
      <w:pPr>
        <w:jc w:val="both"/>
        <w:rPr>
          <w:rFonts w:ascii="Times New Roman" w:hAnsi="Times New Roman" w:cs="Times New Roman"/>
          <w:sz w:val="24"/>
          <w:szCs w:val="24"/>
        </w:rPr>
      </w:pPr>
      <w:r w:rsidRPr="00FF27F2">
        <w:rPr>
          <w:rFonts w:ascii="Times New Roman" w:hAnsi="Times New Roman" w:cs="Times New Roman"/>
          <w:sz w:val="24"/>
          <w:szCs w:val="24"/>
        </w:rPr>
        <w:t>Per quanto riguarda la struttura della simulazione dell’articolazione Sistemi Informativi Aziendale questa risulta coincidente per impostazione e ric</w:t>
      </w:r>
      <w:r w:rsidR="00987AC2" w:rsidRPr="00FF27F2">
        <w:rPr>
          <w:rFonts w:ascii="Times New Roman" w:hAnsi="Times New Roman" w:cs="Times New Roman"/>
          <w:sz w:val="24"/>
          <w:szCs w:val="24"/>
        </w:rPr>
        <w:t>h</w:t>
      </w:r>
      <w:r w:rsidRPr="00FF27F2">
        <w:rPr>
          <w:rFonts w:ascii="Times New Roman" w:hAnsi="Times New Roman" w:cs="Times New Roman"/>
          <w:sz w:val="24"/>
          <w:szCs w:val="24"/>
        </w:rPr>
        <w:t>ieste all’</w:t>
      </w:r>
      <w:r w:rsidR="00987AC2" w:rsidRPr="00FF27F2">
        <w:rPr>
          <w:rFonts w:ascii="Times New Roman" w:hAnsi="Times New Roman" w:cs="Times New Roman"/>
          <w:sz w:val="24"/>
          <w:szCs w:val="24"/>
        </w:rPr>
        <w:t xml:space="preserve">indirizzo Amministrazione, Finanza e Marketing in quanto le competenze, le abilità e le conoscenze del quinto anno </w:t>
      </w:r>
      <w:r w:rsidR="00A94CB4" w:rsidRPr="00FF27F2">
        <w:rPr>
          <w:rFonts w:ascii="Times New Roman" w:hAnsi="Times New Roman" w:cs="Times New Roman"/>
          <w:sz w:val="24"/>
          <w:szCs w:val="24"/>
        </w:rPr>
        <w:t xml:space="preserve">scelte come </w:t>
      </w:r>
      <w:r w:rsidR="000C4953" w:rsidRPr="00FF27F2">
        <w:rPr>
          <w:rFonts w:ascii="Times New Roman" w:hAnsi="Times New Roman" w:cs="Times New Roman"/>
          <w:sz w:val="24"/>
          <w:szCs w:val="24"/>
        </w:rPr>
        <w:t>oggetto della simulazione</w:t>
      </w:r>
      <w:r w:rsidR="00987AC2" w:rsidRPr="00FF27F2">
        <w:rPr>
          <w:rFonts w:ascii="Times New Roman" w:hAnsi="Times New Roman" w:cs="Times New Roman"/>
          <w:sz w:val="24"/>
          <w:szCs w:val="24"/>
        </w:rPr>
        <w:t xml:space="preserve"> operativ</w:t>
      </w:r>
      <w:r w:rsidR="000C4953" w:rsidRPr="00FF27F2">
        <w:rPr>
          <w:rFonts w:ascii="Times New Roman" w:hAnsi="Times New Roman" w:cs="Times New Roman"/>
          <w:sz w:val="24"/>
          <w:szCs w:val="24"/>
        </w:rPr>
        <w:t>a</w:t>
      </w:r>
      <w:r w:rsidR="00987AC2" w:rsidRPr="00FF27F2">
        <w:rPr>
          <w:rFonts w:ascii="Times New Roman" w:hAnsi="Times New Roman" w:cs="Times New Roman"/>
          <w:sz w:val="24"/>
          <w:szCs w:val="24"/>
        </w:rPr>
        <w:t xml:space="preserve"> coincidono.</w:t>
      </w:r>
    </w:p>
    <w:p w:rsidR="00C24573" w:rsidRDefault="00C24573" w:rsidP="00DE3B78">
      <w:pPr>
        <w:pStyle w:val="Titolo4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sz w:val="24"/>
        </w:rPr>
      </w:pPr>
    </w:p>
    <w:p w:rsidR="00987AC2" w:rsidRDefault="00987AC2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sz w:val="24"/>
        </w:rPr>
        <w:br w:type="page"/>
      </w:r>
    </w:p>
    <w:p w:rsidR="00FF27F2" w:rsidRDefault="00FF27F2" w:rsidP="00DE3B78">
      <w:pPr>
        <w:pStyle w:val="Titolo4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sz w:val="24"/>
        </w:rPr>
      </w:pPr>
    </w:p>
    <w:p w:rsidR="00FF27F2" w:rsidRDefault="00FF27F2" w:rsidP="00DE3B78">
      <w:pPr>
        <w:pStyle w:val="Titolo4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sz w:val="24"/>
        </w:rPr>
      </w:pPr>
    </w:p>
    <w:p w:rsidR="00DE3B78" w:rsidRDefault="00DE3B78" w:rsidP="00650F26">
      <w:pPr>
        <w:pStyle w:val="Titolo4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sz w:val="24"/>
        </w:rPr>
      </w:pPr>
      <w:r w:rsidRPr="00DE3B78">
        <w:rPr>
          <w:sz w:val="24"/>
        </w:rPr>
        <w:t>ESAME DI STATO DI ISTITUTO TECNICO</w:t>
      </w:r>
      <w:r w:rsidR="00FF27F2">
        <w:rPr>
          <w:sz w:val="24"/>
        </w:rPr>
        <w:t xml:space="preserve">  Settore </w:t>
      </w:r>
      <w:r w:rsidRPr="00DE3B78">
        <w:rPr>
          <w:sz w:val="24"/>
        </w:rPr>
        <w:t xml:space="preserve"> ECONOMICO</w:t>
      </w:r>
    </w:p>
    <w:p w:rsidR="00650F26" w:rsidRDefault="00650F26" w:rsidP="00DE3B78">
      <w:pPr>
        <w:jc w:val="center"/>
        <w:rPr>
          <w:lang w:eastAsia="it-IT"/>
        </w:rPr>
      </w:pPr>
    </w:p>
    <w:p w:rsidR="00DE3B78" w:rsidRDefault="00DE3B78" w:rsidP="00DE3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B78">
        <w:rPr>
          <w:rFonts w:ascii="Times New Roman" w:hAnsi="Times New Roman" w:cs="Times New Roman"/>
          <w:b/>
          <w:sz w:val="24"/>
          <w:szCs w:val="24"/>
        </w:rPr>
        <w:t>I</w:t>
      </w:r>
      <w:r w:rsidR="00650F26">
        <w:rPr>
          <w:rFonts w:ascii="Times New Roman" w:hAnsi="Times New Roman" w:cs="Times New Roman"/>
          <w:b/>
          <w:sz w:val="24"/>
          <w:szCs w:val="24"/>
        </w:rPr>
        <w:t>ndirizzo:</w:t>
      </w:r>
      <w:r w:rsidRPr="00DE3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0F26">
        <w:rPr>
          <w:rFonts w:ascii="Times New Roman" w:hAnsi="Times New Roman" w:cs="Times New Roman"/>
          <w:b/>
          <w:sz w:val="24"/>
          <w:szCs w:val="24"/>
        </w:rPr>
        <w:t>“</w:t>
      </w:r>
      <w:r w:rsidRPr="00DE3B78">
        <w:rPr>
          <w:rFonts w:ascii="Times New Roman" w:hAnsi="Times New Roman" w:cs="Times New Roman"/>
          <w:b/>
          <w:sz w:val="24"/>
          <w:szCs w:val="24"/>
        </w:rPr>
        <w:t>AMMINISTRAZIONE, FINANZA E MARKETING</w:t>
      </w:r>
      <w:r w:rsidR="00650F26">
        <w:rPr>
          <w:rFonts w:ascii="Times New Roman" w:hAnsi="Times New Roman" w:cs="Times New Roman"/>
          <w:b/>
          <w:sz w:val="24"/>
          <w:szCs w:val="24"/>
        </w:rPr>
        <w:t>”</w:t>
      </w:r>
    </w:p>
    <w:p w:rsidR="00E56C22" w:rsidRDefault="00650F26" w:rsidP="00650F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E56C2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rticolazione</w:t>
      </w:r>
      <w:r w:rsidR="00E56C2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E56C22">
        <w:rPr>
          <w:rFonts w:ascii="Times New Roman" w:hAnsi="Times New Roman" w:cs="Times New Roman"/>
          <w:b/>
          <w:sz w:val="24"/>
          <w:szCs w:val="24"/>
        </w:rPr>
        <w:t>SISTEMI INFORMATIVI AZIENDALI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E56C22" w:rsidRPr="00DE3B78" w:rsidRDefault="00650F26" w:rsidP="00E56C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ESEMPIO DI SECONDA PROVA</w:t>
      </w:r>
      <w:r w:rsidR="00DA20FD">
        <w:rPr>
          <w:rFonts w:ascii="Times New Roman" w:hAnsi="Times New Roman" w:cs="Times New Roman"/>
          <w:b/>
          <w:sz w:val="24"/>
          <w:szCs w:val="24"/>
        </w:rPr>
        <w:t xml:space="preserve"> di “ECONOMIA AZIENDALE”</w:t>
      </w:r>
      <w:bookmarkStart w:id="0" w:name="_GoBack"/>
      <w:bookmarkEnd w:id="0"/>
    </w:p>
    <w:p w:rsidR="00224D42" w:rsidRPr="00224D42" w:rsidRDefault="00224D42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D42">
        <w:rPr>
          <w:rFonts w:ascii="Times New Roman" w:hAnsi="Times New Roman" w:cs="Times New Roman"/>
          <w:b/>
          <w:sz w:val="24"/>
          <w:szCs w:val="24"/>
        </w:rPr>
        <w:t>PRIMA PARTE</w:t>
      </w:r>
    </w:p>
    <w:p w:rsidR="00224D42" w:rsidRPr="006C0A17" w:rsidRDefault="00224D42" w:rsidP="003C055B">
      <w:pPr>
        <w:jc w:val="both"/>
        <w:rPr>
          <w:rFonts w:ascii="Times New Roman" w:hAnsi="Times New Roman" w:cs="Times New Roman"/>
          <w:sz w:val="24"/>
          <w:szCs w:val="24"/>
        </w:rPr>
      </w:pPr>
      <w:r w:rsidRPr="006C0A17">
        <w:rPr>
          <w:rFonts w:ascii="Times New Roman" w:hAnsi="Times New Roman" w:cs="Times New Roman"/>
          <w:sz w:val="24"/>
          <w:szCs w:val="24"/>
        </w:rPr>
        <w:t xml:space="preserve">Stralcio tratto dalla Nota integrativa al bilancio di Alfa spa, impresa industriale </w:t>
      </w:r>
      <w:r w:rsidR="00D04700" w:rsidRPr="006C0A17">
        <w:rPr>
          <w:rFonts w:ascii="Times New Roman" w:hAnsi="Times New Roman" w:cs="Times New Roman"/>
          <w:sz w:val="24"/>
          <w:szCs w:val="24"/>
        </w:rPr>
        <w:t>operante n</w:t>
      </w:r>
      <w:r w:rsidRPr="006C0A17">
        <w:rPr>
          <w:rFonts w:ascii="Times New Roman" w:hAnsi="Times New Roman" w:cs="Times New Roman"/>
          <w:sz w:val="24"/>
          <w:szCs w:val="24"/>
        </w:rPr>
        <w:t>el settore tecnologico, al 31/12/2014.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24D42" w:rsidTr="00224D42">
        <w:tc>
          <w:tcPr>
            <w:tcW w:w="9778" w:type="dxa"/>
          </w:tcPr>
          <w:p w:rsidR="00224D42" w:rsidRPr="00312A92" w:rsidRDefault="00224D42" w:rsidP="00312A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2A92">
              <w:rPr>
                <w:rFonts w:ascii="Arial" w:hAnsi="Arial" w:cs="Arial"/>
                <w:b/>
                <w:sz w:val="20"/>
                <w:szCs w:val="20"/>
              </w:rPr>
              <w:t>Nota integrativa al bilancio 31/12/2014 – art. 2427 c.c.</w:t>
            </w:r>
          </w:p>
          <w:p w:rsidR="00224D42" w:rsidRPr="00312A92" w:rsidRDefault="00224D42" w:rsidP="00224D4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92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:rsidR="00224D42" w:rsidRPr="00312A92" w:rsidRDefault="00224D42" w:rsidP="00224D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4D42" w:rsidRPr="00312A92" w:rsidRDefault="00224D42" w:rsidP="00224D4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2A92">
              <w:rPr>
                <w:rFonts w:ascii="Arial" w:hAnsi="Arial" w:cs="Arial"/>
                <w:i/>
                <w:sz w:val="20"/>
                <w:szCs w:val="20"/>
              </w:rPr>
              <w:t>Movimenti intervenuti nel Patrimonio netto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937"/>
              <w:gridCol w:w="1260"/>
              <w:gridCol w:w="1245"/>
              <w:gridCol w:w="1538"/>
              <w:gridCol w:w="1412"/>
              <w:gridCol w:w="1160"/>
            </w:tblGrid>
            <w:tr w:rsidR="00224D42" w:rsidRPr="00312A92" w:rsidTr="007A6649">
              <w:tc>
                <w:tcPr>
                  <w:tcW w:w="3085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Descrizione</w:t>
                  </w:r>
                </w:p>
              </w:tc>
              <w:tc>
                <w:tcPr>
                  <w:tcW w:w="1276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Capitale sociale</w:t>
                  </w:r>
                </w:p>
              </w:tc>
              <w:tc>
                <w:tcPr>
                  <w:tcW w:w="1276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Riserva legale</w:t>
                  </w:r>
                </w:p>
              </w:tc>
              <w:tc>
                <w:tcPr>
                  <w:tcW w:w="1559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Riserva straordinaria</w:t>
                  </w:r>
                </w:p>
              </w:tc>
              <w:tc>
                <w:tcPr>
                  <w:tcW w:w="1417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Utile dell’esercizio</w:t>
                  </w:r>
                </w:p>
              </w:tc>
              <w:tc>
                <w:tcPr>
                  <w:tcW w:w="1165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Totale</w:t>
                  </w:r>
                </w:p>
              </w:tc>
            </w:tr>
            <w:tr w:rsidR="00224D42" w:rsidRPr="00312A92" w:rsidTr="007A6649">
              <w:tc>
                <w:tcPr>
                  <w:tcW w:w="3085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Valori all’01/01/2014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3.000.000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112.000</w:t>
                  </w:r>
                </w:p>
              </w:tc>
              <w:tc>
                <w:tcPr>
                  <w:tcW w:w="1559" w:type="dxa"/>
                </w:tcPr>
                <w:p w:rsidR="00224D42" w:rsidRPr="006C0A17" w:rsidRDefault="00B93E8E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220</w:t>
                  </w:r>
                  <w:r w:rsidR="00224D42" w:rsidRPr="006C0A17">
                    <w:rPr>
                      <w:rFonts w:ascii="Arial" w:hAnsi="Arial" w:cs="Arial"/>
                      <w:sz w:val="20"/>
                      <w:szCs w:val="20"/>
                    </w:rPr>
                    <w:t>.000</w:t>
                  </w:r>
                </w:p>
              </w:tc>
              <w:tc>
                <w:tcPr>
                  <w:tcW w:w="1417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158.800</w:t>
                  </w:r>
                </w:p>
              </w:tc>
              <w:tc>
                <w:tcPr>
                  <w:tcW w:w="1165" w:type="dxa"/>
                </w:tcPr>
                <w:p w:rsidR="00224D42" w:rsidRPr="006C0A17" w:rsidRDefault="00B93E8E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3.490</w:t>
                  </w:r>
                  <w:r w:rsidR="00224D42" w:rsidRPr="006C0A17">
                    <w:rPr>
                      <w:rFonts w:ascii="Arial" w:hAnsi="Arial" w:cs="Arial"/>
                      <w:sz w:val="20"/>
                      <w:szCs w:val="20"/>
                    </w:rPr>
                    <w:t>.800</w:t>
                  </w:r>
                </w:p>
              </w:tc>
            </w:tr>
            <w:tr w:rsidR="00224D42" w:rsidRPr="00312A92" w:rsidTr="007A6649">
              <w:tc>
                <w:tcPr>
                  <w:tcW w:w="3085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Utile accantonato a riserva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7.940</w:t>
                  </w:r>
                </w:p>
              </w:tc>
              <w:tc>
                <w:tcPr>
                  <w:tcW w:w="1559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15.860</w:t>
                  </w:r>
                </w:p>
              </w:tc>
              <w:tc>
                <w:tcPr>
                  <w:tcW w:w="1417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-23.800</w:t>
                  </w:r>
                </w:p>
              </w:tc>
              <w:tc>
                <w:tcPr>
                  <w:tcW w:w="1165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085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Dividendi pagati agli azionisti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-135.000</w:t>
                  </w:r>
                </w:p>
              </w:tc>
              <w:tc>
                <w:tcPr>
                  <w:tcW w:w="1165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-135.000</w:t>
                  </w:r>
                </w:p>
              </w:tc>
            </w:tr>
            <w:tr w:rsidR="00224D42" w:rsidRPr="00312A92" w:rsidTr="007A6649">
              <w:tc>
                <w:tcPr>
                  <w:tcW w:w="3085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Utile dell’esercizio 2014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162.000</w:t>
                  </w:r>
                </w:p>
              </w:tc>
              <w:tc>
                <w:tcPr>
                  <w:tcW w:w="1165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162.000</w:t>
                  </w:r>
                </w:p>
              </w:tc>
            </w:tr>
            <w:tr w:rsidR="00224D42" w:rsidRPr="00312A92" w:rsidTr="007A6649">
              <w:tc>
                <w:tcPr>
                  <w:tcW w:w="3085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Valori al 31/12/2014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3.000.000</w:t>
                  </w:r>
                </w:p>
              </w:tc>
              <w:tc>
                <w:tcPr>
                  <w:tcW w:w="1276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119.940</w:t>
                  </w:r>
                </w:p>
              </w:tc>
              <w:tc>
                <w:tcPr>
                  <w:tcW w:w="1559" w:type="dxa"/>
                </w:tcPr>
                <w:p w:rsidR="00224D42" w:rsidRPr="006C0A17" w:rsidRDefault="00224D42" w:rsidP="00B93E8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  <w:r w:rsidR="00B93E8E" w:rsidRPr="006C0A1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.860</w:t>
                  </w:r>
                </w:p>
              </w:tc>
              <w:tc>
                <w:tcPr>
                  <w:tcW w:w="1417" w:type="dxa"/>
                </w:tcPr>
                <w:p w:rsidR="00224D42" w:rsidRPr="006C0A17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162.000</w:t>
                  </w:r>
                </w:p>
              </w:tc>
              <w:tc>
                <w:tcPr>
                  <w:tcW w:w="1165" w:type="dxa"/>
                </w:tcPr>
                <w:p w:rsidR="00224D42" w:rsidRPr="006C0A17" w:rsidRDefault="00224D42" w:rsidP="00B93E8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3.51</w:t>
                  </w:r>
                  <w:r w:rsidR="00B93E8E" w:rsidRPr="006C0A17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  <w:r w:rsidRPr="006C0A17">
                    <w:rPr>
                      <w:rFonts w:ascii="Arial" w:hAnsi="Arial" w:cs="Arial"/>
                      <w:sz w:val="20"/>
                      <w:szCs w:val="20"/>
                    </w:rPr>
                    <w:t>.800</w:t>
                  </w:r>
                </w:p>
              </w:tc>
            </w:tr>
          </w:tbl>
          <w:p w:rsidR="00224D42" w:rsidRPr="00312A92" w:rsidRDefault="00224D42" w:rsidP="00224D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4D42" w:rsidRPr="00312A92" w:rsidRDefault="00224D42" w:rsidP="00224D4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2A92">
              <w:rPr>
                <w:rFonts w:ascii="Arial" w:hAnsi="Arial" w:cs="Arial"/>
                <w:i/>
                <w:sz w:val="20"/>
                <w:szCs w:val="20"/>
              </w:rPr>
              <w:t>Movimenti intervenuti nelle immobilizzazioni immateriali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691"/>
              <w:gridCol w:w="1668"/>
              <w:gridCol w:w="2368"/>
              <w:gridCol w:w="1825"/>
            </w:tblGrid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Immobilizzazioni immateriali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Costo originario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Fondo ammortamento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</w:t>
                  </w: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Costi di ricerca, di sviluppo e pubblicità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60.000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24.000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36.000</w:t>
                  </w: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Ammortamento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12.000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 al 31/12/2014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60.000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36.000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24.000</w:t>
                  </w:r>
                </w:p>
              </w:tc>
            </w:tr>
          </w:tbl>
          <w:p w:rsidR="00224D42" w:rsidRPr="00312A92" w:rsidRDefault="00224D42" w:rsidP="00224D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4D42" w:rsidRPr="00312A92" w:rsidRDefault="00224D42" w:rsidP="00224D4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12A92">
              <w:rPr>
                <w:rFonts w:ascii="Arial" w:hAnsi="Arial" w:cs="Arial"/>
                <w:i/>
                <w:sz w:val="20"/>
                <w:szCs w:val="20"/>
              </w:rPr>
              <w:t>Movimenti intervenuti nelle immobilizzazioni materiali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683"/>
              <w:gridCol w:w="1670"/>
              <w:gridCol w:w="2366"/>
              <w:gridCol w:w="1833"/>
            </w:tblGrid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Immobilizzazioni immateriali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Costo originario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Fondo ammortamento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</w:t>
                  </w: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Terreni e fabbricati (*)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2.000.000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1.024.000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976.000</w:t>
                  </w: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Ammortamento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42.000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 al 31/12/2014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2.000.000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1.066.000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934.000</w:t>
                  </w: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Impianti e macchinari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4.258.000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1.916.000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2.342.000</w:t>
                  </w: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Acquisto (in data 01/07)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+700.000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Vendita (in data 01/07)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-450.000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-315.000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Ammortamento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657.604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24D42" w:rsidRPr="00312A92" w:rsidTr="007A6649">
              <w:tc>
                <w:tcPr>
                  <w:tcW w:w="3794" w:type="dxa"/>
                </w:tcPr>
                <w:p w:rsidR="00224D42" w:rsidRPr="00312A92" w:rsidRDefault="00224D42" w:rsidP="007A664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Valore di bilancio al 31/12/2014</w:t>
                  </w:r>
                </w:p>
              </w:tc>
              <w:tc>
                <w:tcPr>
                  <w:tcW w:w="1701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4.508.000</w:t>
                  </w:r>
                </w:p>
              </w:tc>
              <w:tc>
                <w:tcPr>
                  <w:tcW w:w="2410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2.258.604</w:t>
                  </w:r>
                </w:p>
              </w:tc>
              <w:tc>
                <w:tcPr>
                  <w:tcW w:w="1873" w:type="dxa"/>
                </w:tcPr>
                <w:p w:rsidR="00224D42" w:rsidRPr="00312A92" w:rsidRDefault="00224D42" w:rsidP="007A664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12A92">
                    <w:rPr>
                      <w:rFonts w:ascii="Arial" w:hAnsi="Arial" w:cs="Arial"/>
                      <w:sz w:val="20"/>
                      <w:szCs w:val="20"/>
                    </w:rPr>
                    <w:t>2.249.396</w:t>
                  </w:r>
                </w:p>
              </w:tc>
            </w:tr>
          </w:tbl>
          <w:p w:rsidR="00224D42" w:rsidRPr="00312A92" w:rsidRDefault="00224D42" w:rsidP="00224D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92">
              <w:rPr>
                <w:rFonts w:ascii="Arial" w:hAnsi="Arial" w:cs="Arial"/>
                <w:sz w:val="20"/>
                <w:szCs w:val="20"/>
              </w:rPr>
              <w:t>(*) valore del fabbricato 1.400.000 euro</w:t>
            </w:r>
          </w:p>
          <w:p w:rsidR="00224D42" w:rsidRPr="00312A92" w:rsidRDefault="00224D42" w:rsidP="003C05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4D42" w:rsidRPr="00312A92" w:rsidRDefault="00224D42" w:rsidP="003C055B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2A92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</w:tr>
    </w:tbl>
    <w:p w:rsidR="00224D42" w:rsidRDefault="00224D42" w:rsidP="00224D42">
      <w:pPr>
        <w:spacing w:after="0"/>
        <w:jc w:val="both"/>
      </w:pPr>
    </w:p>
    <w:p w:rsidR="00224D42" w:rsidRPr="003C000B" w:rsidRDefault="00224D42" w:rsidP="00224D42">
      <w:pPr>
        <w:jc w:val="both"/>
        <w:rPr>
          <w:rFonts w:ascii="Times New Roman" w:hAnsi="Times New Roman" w:cs="Times New Roman"/>
          <w:sz w:val="24"/>
          <w:szCs w:val="24"/>
        </w:rPr>
      </w:pPr>
      <w:r w:rsidRPr="003C000B">
        <w:rPr>
          <w:rFonts w:ascii="Times New Roman" w:hAnsi="Times New Roman" w:cs="Times New Roman"/>
          <w:sz w:val="24"/>
          <w:szCs w:val="24"/>
        </w:rPr>
        <w:t>Il candidato, dopo aver analizzato le tabelle della Nota integrativa, tragga i dati necessari per ricostru</w:t>
      </w:r>
      <w:r w:rsidR="00B31C4C" w:rsidRPr="003C000B">
        <w:rPr>
          <w:rFonts w:ascii="Times New Roman" w:hAnsi="Times New Roman" w:cs="Times New Roman"/>
          <w:sz w:val="24"/>
          <w:szCs w:val="24"/>
        </w:rPr>
        <w:t xml:space="preserve">ire </w:t>
      </w:r>
      <w:r w:rsidRPr="003C000B">
        <w:rPr>
          <w:rFonts w:ascii="Times New Roman" w:hAnsi="Times New Roman" w:cs="Times New Roman"/>
          <w:sz w:val="24"/>
          <w:szCs w:val="24"/>
        </w:rPr>
        <w:t xml:space="preserve">lo Stato patrimoniale e </w:t>
      </w:r>
      <w:r w:rsidR="00B31C4C" w:rsidRPr="003C000B">
        <w:rPr>
          <w:rFonts w:ascii="Times New Roman" w:hAnsi="Times New Roman" w:cs="Times New Roman"/>
          <w:sz w:val="24"/>
          <w:szCs w:val="24"/>
        </w:rPr>
        <w:t>i</w:t>
      </w:r>
      <w:r w:rsidRPr="003C000B">
        <w:rPr>
          <w:rFonts w:ascii="Times New Roman" w:hAnsi="Times New Roman" w:cs="Times New Roman"/>
          <w:sz w:val="24"/>
          <w:szCs w:val="24"/>
        </w:rPr>
        <w:t>l Conto economico di Alfa spa</w:t>
      </w:r>
      <w:r w:rsidR="00D04700" w:rsidRPr="003C000B">
        <w:rPr>
          <w:rFonts w:ascii="Times New Roman" w:hAnsi="Times New Roman" w:cs="Times New Roman"/>
          <w:sz w:val="24"/>
          <w:szCs w:val="24"/>
        </w:rPr>
        <w:t xml:space="preserve"> e proceda alla redazione dei due documenti secondo quanto prescritto dal Codice Civile</w:t>
      </w:r>
      <w:r w:rsidRPr="003C000B">
        <w:rPr>
          <w:rFonts w:ascii="Times New Roman" w:hAnsi="Times New Roman" w:cs="Times New Roman"/>
          <w:sz w:val="24"/>
          <w:szCs w:val="24"/>
        </w:rPr>
        <w:t>.</w:t>
      </w:r>
    </w:p>
    <w:p w:rsidR="00224D42" w:rsidRDefault="00224D42" w:rsidP="00224D42">
      <w:pPr>
        <w:pStyle w:val="Nessunaspaziatura1"/>
        <w:jc w:val="both"/>
        <w:rPr>
          <w:rFonts w:ascii="Times New Roman" w:hAnsi="Times New Roman"/>
          <w:sz w:val="24"/>
          <w:szCs w:val="24"/>
        </w:rPr>
      </w:pPr>
    </w:p>
    <w:p w:rsidR="00D04700" w:rsidRDefault="00D04700" w:rsidP="00224D42">
      <w:pPr>
        <w:pStyle w:val="Nessunaspaziatura1"/>
        <w:jc w:val="both"/>
        <w:rPr>
          <w:rFonts w:ascii="Times New Roman" w:hAnsi="Times New Roman"/>
          <w:sz w:val="24"/>
          <w:szCs w:val="24"/>
        </w:rPr>
      </w:pPr>
    </w:p>
    <w:p w:rsidR="00D04700" w:rsidRPr="00C1606D" w:rsidRDefault="00D04700" w:rsidP="00224D42">
      <w:pPr>
        <w:pStyle w:val="Nessunaspaziatura1"/>
        <w:jc w:val="both"/>
        <w:rPr>
          <w:rFonts w:ascii="Times New Roman" w:hAnsi="Times New Roman"/>
          <w:sz w:val="24"/>
          <w:szCs w:val="24"/>
        </w:rPr>
      </w:pPr>
    </w:p>
    <w:p w:rsidR="00650F26" w:rsidRDefault="00650F26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4D42" w:rsidRPr="00C1606D" w:rsidRDefault="00224D42" w:rsidP="00224D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6D">
        <w:rPr>
          <w:rFonts w:ascii="Times New Roman" w:hAnsi="Times New Roman" w:cs="Times New Roman"/>
          <w:b/>
          <w:sz w:val="24"/>
          <w:szCs w:val="24"/>
        </w:rPr>
        <w:t>SECONDA PARTE</w:t>
      </w:r>
    </w:p>
    <w:p w:rsidR="00B31C4C" w:rsidRPr="00B31C4C" w:rsidRDefault="00B31C4C" w:rsidP="00B31C4C">
      <w:pPr>
        <w:jc w:val="both"/>
        <w:rPr>
          <w:rFonts w:ascii="Times New Roman" w:hAnsi="Times New Roman" w:cs="Times New Roman"/>
          <w:sz w:val="24"/>
          <w:szCs w:val="24"/>
        </w:rPr>
      </w:pPr>
      <w:r w:rsidRPr="00B31C4C">
        <w:rPr>
          <w:rFonts w:ascii="Times New Roman" w:hAnsi="Times New Roman" w:cs="Times New Roman"/>
          <w:sz w:val="24"/>
          <w:szCs w:val="24"/>
        </w:rPr>
        <w:t>Il candidato scelga due dei seguenti quesiti e presenti per ognuno le linee operative, le motivazioni delle soluzioni prospettate e la produzione dei relativi documenti, ove richiesto.</w:t>
      </w:r>
    </w:p>
    <w:p w:rsidR="00C1606D" w:rsidRDefault="00C1606D" w:rsidP="00C1606D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606D">
        <w:rPr>
          <w:rFonts w:ascii="Times New Roman" w:hAnsi="Times New Roman"/>
          <w:sz w:val="24"/>
          <w:szCs w:val="24"/>
        </w:rPr>
        <w:t>L’informazione sulla si</w:t>
      </w:r>
      <w:r w:rsidR="00B93E8E">
        <w:rPr>
          <w:rFonts w:ascii="Times New Roman" w:hAnsi="Times New Roman"/>
          <w:sz w:val="24"/>
          <w:szCs w:val="24"/>
        </w:rPr>
        <w:t>tuazione economica, finanziaria e</w:t>
      </w:r>
      <w:r w:rsidRPr="00C1606D">
        <w:rPr>
          <w:rFonts w:ascii="Times New Roman" w:hAnsi="Times New Roman"/>
          <w:sz w:val="24"/>
          <w:szCs w:val="24"/>
        </w:rPr>
        <w:t xml:space="preserve"> patrimoniale di Alfa spa richiede la determinazione di indicatori utili alla predisposizione di una relazione. Redigere il report dal quale si evidenzia l’analisi</w:t>
      </w:r>
      <w:r w:rsidR="00D840CE">
        <w:rPr>
          <w:rFonts w:ascii="Times New Roman" w:hAnsi="Times New Roman"/>
          <w:sz w:val="24"/>
          <w:szCs w:val="24"/>
        </w:rPr>
        <w:t xml:space="preserve"> economica</w:t>
      </w:r>
      <w:r w:rsidRPr="00C1606D">
        <w:rPr>
          <w:rFonts w:ascii="Times New Roman" w:hAnsi="Times New Roman"/>
          <w:sz w:val="24"/>
          <w:szCs w:val="24"/>
        </w:rPr>
        <w:t xml:space="preserve"> d</w:t>
      </w:r>
      <w:r w:rsidR="00B31C4C">
        <w:rPr>
          <w:rFonts w:ascii="Times New Roman" w:hAnsi="Times New Roman"/>
          <w:sz w:val="24"/>
          <w:szCs w:val="24"/>
        </w:rPr>
        <w:t>el</w:t>
      </w:r>
      <w:r w:rsidR="00B93E8E">
        <w:rPr>
          <w:rFonts w:ascii="Times New Roman" w:hAnsi="Times New Roman"/>
          <w:sz w:val="24"/>
          <w:szCs w:val="24"/>
        </w:rPr>
        <w:t xml:space="preserve"> bilancio di Alfa spa</w:t>
      </w:r>
      <w:r w:rsidR="00B93E8E" w:rsidRPr="00B93E8E">
        <w:rPr>
          <w:rFonts w:ascii="Times New Roman" w:hAnsi="Times New Roman"/>
          <w:sz w:val="24"/>
          <w:szCs w:val="24"/>
        </w:rPr>
        <w:t xml:space="preserve"> </w:t>
      </w:r>
      <w:r w:rsidR="00B93E8E" w:rsidRPr="00C1606D">
        <w:rPr>
          <w:rFonts w:ascii="Times New Roman" w:hAnsi="Times New Roman"/>
          <w:sz w:val="24"/>
          <w:szCs w:val="24"/>
        </w:rPr>
        <w:t>al 31/12/2014</w:t>
      </w:r>
      <w:r w:rsidR="00B93E8E">
        <w:rPr>
          <w:rFonts w:ascii="Times New Roman" w:hAnsi="Times New Roman"/>
          <w:sz w:val="24"/>
          <w:szCs w:val="24"/>
        </w:rPr>
        <w:t>.</w:t>
      </w:r>
    </w:p>
    <w:p w:rsidR="00D04700" w:rsidRPr="00C1606D" w:rsidRDefault="00D04700" w:rsidP="00D04700">
      <w:pPr>
        <w:pStyle w:val="Paragrafoelenco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1606D" w:rsidRPr="006C0A17" w:rsidRDefault="00C1606D" w:rsidP="00C1606D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A17">
        <w:rPr>
          <w:rFonts w:ascii="Times New Roman" w:hAnsi="Times New Roman"/>
          <w:sz w:val="24"/>
          <w:szCs w:val="24"/>
        </w:rPr>
        <w:t xml:space="preserve">L’informazione sulla situazione finanziaria di Alfa spa al 31/12/2014 richiede il ricorso alla elaborazione del </w:t>
      </w:r>
      <w:r w:rsidR="00EC26DD" w:rsidRPr="006C0A17">
        <w:rPr>
          <w:rFonts w:ascii="Times New Roman" w:hAnsi="Times New Roman"/>
          <w:sz w:val="24"/>
          <w:szCs w:val="24"/>
        </w:rPr>
        <w:t>R</w:t>
      </w:r>
      <w:r w:rsidRPr="006C0A17">
        <w:rPr>
          <w:rFonts w:ascii="Times New Roman" w:hAnsi="Times New Roman"/>
          <w:sz w:val="24"/>
          <w:szCs w:val="24"/>
        </w:rPr>
        <w:t xml:space="preserve">endiconto finanziario così come indicato dai Principi contabili. Redigere il report dal quale si evidenzia l’analisi dei flussi finanziari relativi al bilancio di Alfa spa </w:t>
      </w:r>
      <w:r w:rsidR="00B93E8E" w:rsidRPr="006C0A17">
        <w:rPr>
          <w:rFonts w:ascii="Times New Roman" w:hAnsi="Times New Roman"/>
          <w:sz w:val="24"/>
          <w:szCs w:val="24"/>
        </w:rPr>
        <w:t xml:space="preserve">al 31/12/2014 </w:t>
      </w:r>
      <w:r w:rsidRPr="006C0A17">
        <w:rPr>
          <w:rFonts w:ascii="Times New Roman" w:hAnsi="Times New Roman"/>
          <w:sz w:val="24"/>
          <w:szCs w:val="24"/>
        </w:rPr>
        <w:t>ricorrendo al</w:t>
      </w:r>
      <w:r w:rsidR="00907CB8" w:rsidRPr="006C0A17">
        <w:rPr>
          <w:rFonts w:ascii="Times New Roman" w:hAnsi="Times New Roman"/>
          <w:sz w:val="24"/>
          <w:szCs w:val="24"/>
        </w:rPr>
        <w:t>la</w:t>
      </w:r>
      <w:r w:rsidRPr="006C0A17">
        <w:rPr>
          <w:rFonts w:ascii="Times New Roman" w:hAnsi="Times New Roman"/>
          <w:sz w:val="24"/>
          <w:szCs w:val="24"/>
        </w:rPr>
        <w:t xml:space="preserve"> predisposizione del Rendiconto finanziario delle variazioni del Patrimonio circolante netto.</w:t>
      </w:r>
    </w:p>
    <w:p w:rsidR="00D04700" w:rsidRDefault="00D04700" w:rsidP="00D04700">
      <w:pPr>
        <w:pStyle w:val="Paragrafoelenco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26DD" w:rsidRDefault="00EC26DD" w:rsidP="00EC26DD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A17">
        <w:rPr>
          <w:rFonts w:ascii="Times New Roman" w:hAnsi="Times New Roman"/>
          <w:sz w:val="24"/>
          <w:szCs w:val="24"/>
        </w:rPr>
        <w:t>Il passaggio dal reddito di bilancio al reddito fiscale richiede l’applicazione delle disposizioni contenute nel TUIR in merito ai componenti negativi e positiv</w:t>
      </w:r>
      <w:r w:rsidR="003C000B">
        <w:rPr>
          <w:rFonts w:ascii="Times New Roman" w:hAnsi="Times New Roman"/>
          <w:sz w:val="24"/>
          <w:szCs w:val="24"/>
        </w:rPr>
        <w:t>i</w:t>
      </w:r>
      <w:r w:rsidRPr="006C0A17">
        <w:rPr>
          <w:rFonts w:ascii="Times New Roman" w:hAnsi="Times New Roman"/>
          <w:sz w:val="24"/>
          <w:szCs w:val="24"/>
        </w:rPr>
        <w:t xml:space="preserve"> di reddito. Individuare i componenti del reddito che possono originare variazioni fiscali in aumento </w:t>
      </w:r>
      <w:r w:rsidR="00B31C4C" w:rsidRPr="006C0A17">
        <w:rPr>
          <w:rFonts w:ascii="Times New Roman" w:hAnsi="Times New Roman"/>
          <w:sz w:val="24"/>
          <w:szCs w:val="24"/>
        </w:rPr>
        <w:t>e</w:t>
      </w:r>
      <w:r w:rsidRPr="006C0A17">
        <w:rPr>
          <w:rFonts w:ascii="Times New Roman" w:hAnsi="Times New Roman"/>
          <w:sz w:val="24"/>
          <w:szCs w:val="24"/>
        </w:rPr>
        <w:t xml:space="preserve"> in diminuzione. Successivamente </w:t>
      </w:r>
      <w:r w:rsidR="00897FE3" w:rsidRPr="006C0A17">
        <w:rPr>
          <w:rFonts w:ascii="Times New Roman" w:hAnsi="Times New Roman"/>
          <w:sz w:val="24"/>
          <w:szCs w:val="24"/>
        </w:rPr>
        <w:t xml:space="preserve">determinare il reddito imponibile IRES di Beta spa per l’esercizio 2014 considerando che l’azienda ha </w:t>
      </w:r>
      <w:r w:rsidR="00D840CE">
        <w:rPr>
          <w:rFonts w:ascii="Times New Roman" w:hAnsi="Times New Roman"/>
          <w:sz w:val="24"/>
          <w:szCs w:val="24"/>
        </w:rPr>
        <w:t>rilevato</w:t>
      </w:r>
      <w:r w:rsidR="00897FE3" w:rsidRPr="006C0A17">
        <w:rPr>
          <w:rFonts w:ascii="Times New Roman" w:hAnsi="Times New Roman"/>
          <w:sz w:val="24"/>
          <w:szCs w:val="24"/>
        </w:rPr>
        <w:t xml:space="preserve"> un utile lordo </w:t>
      </w:r>
      <w:r w:rsidR="000C4953" w:rsidRPr="006C0A17">
        <w:rPr>
          <w:rFonts w:ascii="Times New Roman" w:hAnsi="Times New Roman"/>
          <w:sz w:val="24"/>
          <w:szCs w:val="24"/>
        </w:rPr>
        <w:t>d</w:t>
      </w:r>
      <w:r w:rsidR="00897FE3" w:rsidRPr="006C0A17">
        <w:rPr>
          <w:rFonts w:ascii="Times New Roman" w:hAnsi="Times New Roman"/>
          <w:sz w:val="24"/>
          <w:szCs w:val="24"/>
        </w:rPr>
        <w:t>i 46.800 euro e che sono realizzate</w:t>
      </w:r>
      <w:r w:rsidRPr="006C0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variazioni fiscali originate da:</w:t>
      </w:r>
    </w:p>
    <w:p w:rsidR="00EC26DD" w:rsidRPr="00EC26DD" w:rsidRDefault="00EC26DD" w:rsidP="00EC26DD">
      <w:pPr>
        <w:pStyle w:val="Paragrafoelenco1"/>
        <w:numPr>
          <w:ilvl w:val="1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plusvalenze</w:t>
      </w:r>
    </w:p>
    <w:p w:rsidR="00EC26DD" w:rsidRDefault="00EC26DD" w:rsidP="00EC26DD">
      <w:pPr>
        <w:pStyle w:val="Paragrafoelenco1"/>
        <w:numPr>
          <w:ilvl w:val="1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svalutazione crediti</w:t>
      </w:r>
    </w:p>
    <w:p w:rsidR="00EC26DD" w:rsidRDefault="00EC26DD" w:rsidP="00EC26DD">
      <w:pPr>
        <w:pStyle w:val="Paragrafoelenco1"/>
        <w:numPr>
          <w:ilvl w:val="1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ammortamenti</w:t>
      </w:r>
    </w:p>
    <w:p w:rsidR="00EC26DD" w:rsidRDefault="00EC26DD" w:rsidP="00EC26DD">
      <w:pPr>
        <w:pStyle w:val="Paragrafoelenco1"/>
        <w:numPr>
          <w:ilvl w:val="1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manutenzioni e riparazioni</w:t>
      </w:r>
      <w:r w:rsidR="00B31C4C">
        <w:rPr>
          <w:rFonts w:ascii="Times New Roman" w:hAnsi="Times New Roman"/>
          <w:sz w:val="24"/>
          <w:szCs w:val="24"/>
        </w:rPr>
        <w:t>.</w:t>
      </w:r>
    </w:p>
    <w:p w:rsidR="00D04700" w:rsidRPr="006C0A17" w:rsidRDefault="00D04700" w:rsidP="00D04700">
      <w:pPr>
        <w:pStyle w:val="Paragrafoelenco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31C4C" w:rsidRPr="006C0A17" w:rsidRDefault="00B31C4C" w:rsidP="00B31C4C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A17">
        <w:rPr>
          <w:rFonts w:ascii="Times New Roman" w:eastAsia="Times New Roman" w:hAnsi="Times New Roman" w:cs="Times New Roman"/>
          <w:sz w:val="24"/>
          <w:szCs w:val="24"/>
        </w:rPr>
        <w:t>Gamma spa, impresa industriale</w:t>
      </w:r>
      <w:r w:rsidR="00897FE3" w:rsidRPr="006C0A17">
        <w:rPr>
          <w:rFonts w:ascii="Times New Roman" w:eastAsia="Times New Roman" w:hAnsi="Times New Roman" w:cs="Times New Roman"/>
          <w:sz w:val="24"/>
          <w:szCs w:val="24"/>
        </w:rPr>
        <w:t xml:space="preserve"> riceve</w:t>
      </w:r>
      <w:r w:rsidRPr="006C0A17">
        <w:rPr>
          <w:rFonts w:ascii="Times New Roman" w:eastAsia="Times New Roman" w:hAnsi="Times New Roman" w:cs="Times New Roman"/>
          <w:sz w:val="24"/>
          <w:szCs w:val="24"/>
        </w:rPr>
        <w:t xml:space="preserve">, nell’esercizio 2014, la richiesta di una fornitura di 60.000 unità del prodotto GFDR65 a un prezzo </w:t>
      </w:r>
      <w:r w:rsidR="00897FE3" w:rsidRPr="006C0A17">
        <w:rPr>
          <w:rFonts w:ascii="Times New Roman" w:eastAsia="Times New Roman" w:hAnsi="Times New Roman" w:cs="Times New Roman"/>
          <w:sz w:val="24"/>
          <w:szCs w:val="24"/>
        </w:rPr>
        <w:t>ridotto rispetto all</w:t>
      </w:r>
      <w:r w:rsidRPr="006C0A17">
        <w:rPr>
          <w:rFonts w:ascii="Times New Roman" w:eastAsia="Times New Roman" w:hAnsi="Times New Roman" w:cs="Times New Roman"/>
          <w:sz w:val="24"/>
          <w:szCs w:val="24"/>
        </w:rPr>
        <w:t xml:space="preserve">’attuale prezzo di vendita. La struttura produttiva interna, attualmente </w:t>
      </w:r>
      <w:r w:rsidR="00D840CE">
        <w:rPr>
          <w:rFonts w:ascii="Times New Roman" w:eastAsia="Times New Roman" w:hAnsi="Times New Roman" w:cs="Times New Roman"/>
          <w:sz w:val="24"/>
          <w:szCs w:val="24"/>
        </w:rPr>
        <w:t xml:space="preserve">non interamente </w:t>
      </w:r>
      <w:r w:rsidRPr="006C0A17">
        <w:rPr>
          <w:rFonts w:ascii="Times New Roman" w:eastAsia="Times New Roman" w:hAnsi="Times New Roman" w:cs="Times New Roman"/>
          <w:sz w:val="24"/>
          <w:szCs w:val="24"/>
        </w:rPr>
        <w:t>utilizzata, non consente la realizzazione dell’intera produzione aggiuntiva. Analizzare la situazione aziendale</w:t>
      </w:r>
      <w:r w:rsidR="00897FE3" w:rsidRPr="006C0A17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6C0A17">
        <w:rPr>
          <w:rFonts w:ascii="Times New Roman" w:eastAsia="Times New Roman" w:hAnsi="Times New Roman" w:cs="Times New Roman"/>
          <w:sz w:val="24"/>
          <w:szCs w:val="24"/>
        </w:rPr>
        <w:t xml:space="preserve"> redigere il report dal quale emerga la soluzione ritenuta economicamente più conveniente per soddisfare la richiesta valutando la possibilità di:</w:t>
      </w:r>
    </w:p>
    <w:p w:rsidR="00B31C4C" w:rsidRPr="006C0A17" w:rsidRDefault="00B31C4C" w:rsidP="00B31C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A17">
        <w:rPr>
          <w:rFonts w:ascii="Times New Roman" w:hAnsi="Times New Roman" w:cs="Times New Roman"/>
          <w:sz w:val="24"/>
          <w:szCs w:val="24"/>
        </w:rPr>
        <w:t>esternalizzare interamente la produzione aggiuntiva</w:t>
      </w:r>
    </w:p>
    <w:p w:rsidR="00B31C4C" w:rsidRPr="006C0A17" w:rsidRDefault="00B31C4C" w:rsidP="00B31C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A17">
        <w:rPr>
          <w:rFonts w:ascii="Times New Roman" w:hAnsi="Times New Roman" w:cs="Times New Roman"/>
          <w:sz w:val="24"/>
          <w:szCs w:val="24"/>
        </w:rPr>
        <w:t xml:space="preserve">acquisire impianti e assumere personale per realizzare internamente la maggiore produzione </w:t>
      </w:r>
    </w:p>
    <w:p w:rsidR="00B31C4C" w:rsidRPr="006C0A17" w:rsidRDefault="00B31C4C" w:rsidP="00B31C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A17">
        <w:rPr>
          <w:rFonts w:ascii="Times New Roman" w:hAnsi="Times New Roman" w:cs="Times New Roman"/>
          <w:sz w:val="24"/>
          <w:szCs w:val="24"/>
        </w:rPr>
        <w:t>realizzare al proprio interno parte della produzione, sfruttando la capacità produttiva residua, ed esternalizzare la produzione mancante.</w:t>
      </w:r>
    </w:p>
    <w:p w:rsidR="00C1606D" w:rsidRDefault="00C1606D" w:rsidP="00DE3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40CE" w:rsidRDefault="00D840CE" w:rsidP="00DE3B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459" w:rsidRPr="005E5459" w:rsidRDefault="005E5459" w:rsidP="005E54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459">
        <w:rPr>
          <w:rFonts w:ascii="Times New Roman" w:eastAsia="Times New Roman" w:hAnsi="Times New Roman" w:cs="Times New Roman"/>
          <w:sz w:val="24"/>
          <w:szCs w:val="24"/>
        </w:rPr>
        <w:t>Dati mancanti opportunamente scelti.</w:t>
      </w:r>
    </w:p>
    <w:p w:rsidR="00C1606D" w:rsidRPr="00C1606D" w:rsidRDefault="00C1606D" w:rsidP="00736B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1CF9" w:rsidRDefault="00CB1CF9" w:rsidP="00CB1CF9">
      <w:pPr>
        <w:pStyle w:val="Pidipagina"/>
        <w:tabs>
          <w:tab w:val="left" w:pos="708"/>
        </w:tabs>
      </w:pPr>
      <w:r>
        <w:t>______________</w:t>
      </w:r>
    </w:p>
    <w:p w:rsidR="00CB1CF9" w:rsidRDefault="00CB1CF9" w:rsidP="00CB1CF9">
      <w:pPr>
        <w:spacing w:after="0" w:line="240" w:lineRule="auto"/>
        <w:rPr>
          <w:sz w:val="10"/>
        </w:rPr>
      </w:pPr>
    </w:p>
    <w:p w:rsidR="00CB1CF9" w:rsidRDefault="00CB1CF9" w:rsidP="00CB1CF9">
      <w:pPr>
        <w:spacing w:after="0" w:line="240" w:lineRule="auto"/>
        <w:rPr>
          <w:sz w:val="20"/>
        </w:rPr>
      </w:pPr>
      <w:r>
        <w:rPr>
          <w:sz w:val="20"/>
        </w:rPr>
        <w:t>Durata della prova sei ore.</w:t>
      </w:r>
    </w:p>
    <w:p w:rsidR="00CB1CF9" w:rsidRDefault="00CB1CF9" w:rsidP="00CB1CF9">
      <w:pPr>
        <w:spacing w:after="0" w:line="240" w:lineRule="auto"/>
        <w:rPr>
          <w:sz w:val="20"/>
        </w:rPr>
      </w:pPr>
      <w:r>
        <w:rPr>
          <w:sz w:val="20"/>
        </w:rPr>
        <w:t>Sono consentiti la consultazione del Codice Civile non commentato e l’uso di calcolatrici tascabili non programmabili.</w:t>
      </w:r>
    </w:p>
    <w:p w:rsidR="00CB1CF9" w:rsidRDefault="00CB1CF9" w:rsidP="00CB1CF9">
      <w:pPr>
        <w:spacing w:after="0" w:line="240" w:lineRule="auto"/>
        <w:rPr>
          <w:sz w:val="24"/>
        </w:rPr>
      </w:pPr>
      <w:r>
        <w:rPr>
          <w:sz w:val="20"/>
        </w:rPr>
        <w:t>Non è consentito lasciare l’Istituto prima che siano trascorse tre ore dalla dettatura del tema.</w:t>
      </w:r>
    </w:p>
    <w:p w:rsidR="00736BFF" w:rsidRDefault="00736BFF" w:rsidP="00CB1C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6BFF" w:rsidRPr="00736BFF" w:rsidRDefault="00736BFF" w:rsidP="00736BFF">
      <w:pPr>
        <w:jc w:val="both"/>
        <w:rPr>
          <w:rFonts w:ascii="Times New Roman" w:hAnsi="Times New Roman" w:cs="Times New Roman"/>
        </w:rPr>
      </w:pPr>
    </w:p>
    <w:sectPr w:rsidR="00736BFF" w:rsidRPr="00736BFF" w:rsidSect="005117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5EB" w:rsidRDefault="003815EB" w:rsidP="003D69E1">
      <w:pPr>
        <w:spacing w:after="0" w:line="240" w:lineRule="auto"/>
      </w:pPr>
      <w:r>
        <w:separator/>
      </w:r>
    </w:p>
  </w:endnote>
  <w:endnote w:type="continuationSeparator" w:id="0">
    <w:p w:rsidR="003815EB" w:rsidRDefault="003815EB" w:rsidP="003D6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5EB" w:rsidRDefault="003815EB" w:rsidP="003D69E1">
      <w:pPr>
        <w:spacing w:after="0" w:line="240" w:lineRule="auto"/>
      </w:pPr>
      <w:r>
        <w:separator/>
      </w:r>
    </w:p>
  </w:footnote>
  <w:footnote w:type="continuationSeparator" w:id="0">
    <w:p w:rsidR="003815EB" w:rsidRDefault="003815EB" w:rsidP="003D6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9E1" w:rsidRDefault="003D69E1">
    <w:pPr>
      <w:pStyle w:val="Intestazione"/>
    </w:pPr>
    <w:r>
      <w:t>ISTITUTI TECNICI                                                                                                                            settore   ECONOMICO</w:t>
    </w:r>
  </w:p>
  <w:p w:rsidR="003D69E1" w:rsidRDefault="003D69E1" w:rsidP="003D69E1">
    <w:pPr>
      <w:pStyle w:val="Intestazione"/>
      <w:jc w:val="center"/>
    </w:pPr>
    <w:r>
      <w:t>Simulazione seconda prova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6F9"/>
    <w:multiLevelType w:val="hybridMultilevel"/>
    <w:tmpl w:val="DB1E8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73D3B"/>
    <w:multiLevelType w:val="hybridMultilevel"/>
    <w:tmpl w:val="7BC24C46"/>
    <w:lvl w:ilvl="0" w:tplc="F71805F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51B41CC"/>
    <w:multiLevelType w:val="hybridMultilevel"/>
    <w:tmpl w:val="593A7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ECB"/>
    <w:multiLevelType w:val="hybridMultilevel"/>
    <w:tmpl w:val="DB143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70D66"/>
    <w:multiLevelType w:val="hybridMultilevel"/>
    <w:tmpl w:val="5A34E9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D203300"/>
    <w:multiLevelType w:val="hybridMultilevel"/>
    <w:tmpl w:val="82D0C9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B7442F"/>
    <w:multiLevelType w:val="hybridMultilevel"/>
    <w:tmpl w:val="F7923A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C75FE"/>
    <w:multiLevelType w:val="hybridMultilevel"/>
    <w:tmpl w:val="A04E56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3F2EF3"/>
    <w:multiLevelType w:val="hybridMultilevel"/>
    <w:tmpl w:val="A06A7134"/>
    <w:lvl w:ilvl="0" w:tplc="E9F61DB0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5B"/>
    <w:rsid w:val="00032F5A"/>
    <w:rsid w:val="000C4953"/>
    <w:rsid w:val="00103DCE"/>
    <w:rsid w:val="001C3E93"/>
    <w:rsid w:val="00211134"/>
    <w:rsid w:val="00224D42"/>
    <w:rsid w:val="0025705A"/>
    <w:rsid w:val="002E7688"/>
    <w:rsid w:val="00312A92"/>
    <w:rsid w:val="00324C7E"/>
    <w:rsid w:val="00356499"/>
    <w:rsid w:val="003815EB"/>
    <w:rsid w:val="003A7514"/>
    <w:rsid w:val="003C000B"/>
    <w:rsid w:val="003C055B"/>
    <w:rsid w:val="003D69E1"/>
    <w:rsid w:val="0043135D"/>
    <w:rsid w:val="004E33B1"/>
    <w:rsid w:val="00505447"/>
    <w:rsid w:val="005117AC"/>
    <w:rsid w:val="005C59DF"/>
    <w:rsid w:val="005E0A75"/>
    <w:rsid w:val="005E5459"/>
    <w:rsid w:val="00637F1F"/>
    <w:rsid w:val="00650F26"/>
    <w:rsid w:val="006C0A17"/>
    <w:rsid w:val="00736BFF"/>
    <w:rsid w:val="007B0F12"/>
    <w:rsid w:val="007D352F"/>
    <w:rsid w:val="00897FE3"/>
    <w:rsid w:val="008E4140"/>
    <w:rsid w:val="00901A80"/>
    <w:rsid w:val="00907CB8"/>
    <w:rsid w:val="00917923"/>
    <w:rsid w:val="00977E75"/>
    <w:rsid w:val="00987AC2"/>
    <w:rsid w:val="00A175D8"/>
    <w:rsid w:val="00A94CB4"/>
    <w:rsid w:val="00A97610"/>
    <w:rsid w:val="00AB20A4"/>
    <w:rsid w:val="00B267C6"/>
    <w:rsid w:val="00B31C4C"/>
    <w:rsid w:val="00B42CD2"/>
    <w:rsid w:val="00B93E8E"/>
    <w:rsid w:val="00BE2585"/>
    <w:rsid w:val="00C1606D"/>
    <w:rsid w:val="00C24573"/>
    <w:rsid w:val="00C822AC"/>
    <w:rsid w:val="00CA63D4"/>
    <w:rsid w:val="00CB1CF9"/>
    <w:rsid w:val="00D04700"/>
    <w:rsid w:val="00D65AE6"/>
    <w:rsid w:val="00D840CE"/>
    <w:rsid w:val="00DA1ACF"/>
    <w:rsid w:val="00DA20FD"/>
    <w:rsid w:val="00DB2657"/>
    <w:rsid w:val="00DC228E"/>
    <w:rsid w:val="00DE3B78"/>
    <w:rsid w:val="00E02025"/>
    <w:rsid w:val="00E56C22"/>
    <w:rsid w:val="00EB7012"/>
    <w:rsid w:val="00EC26DD"/>
    <w:rsid w:val="00F16F2B"/>
    <w:rsid w:val="00FE20D6"/>
    <w:rsid w:val="00FF27F2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DE3B7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76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BE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sunaspaziatura1">
    <w:name w:val="Nessuna spaziatura1"/>
    <w:rsid w:val="00224D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foelenco1">
    <w:name w:val="Paragrafo elenco1"/>
    <w:basedOn w:val="Normale"/>
    <w:rsid w:val="00C1606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itolo4Carattere">
    <w:name w:val="Titolo 4 Carattere"/>
    <w:basedOn w:val="Carpredefinitoparagrafo"/>
    <w:link w:val="Titolo4"/>
    <w:rsid w:val="00DE3B78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69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9E1"/>
  </w:style>
  <w:style w:type="paragraph" w:styleId="Pidipagina">
    <w:name w:val="footer"/>
    <w:basedOn w:val="Normale"/>
    <w:link w:val="PidipaginaCarattere"/>
    <w:unhideWhenUsed/>
    <w:rsid w:val="003D69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3D69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6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DE3B7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7610"/>
    <w:pPr>
      <w:ind w:left="720"/>
      <w:contextualSpacing/>
    </w:pPr>
  </w:style>
  <w:style w:type="table" w:styleId="Grigliatabella">
    <w:name w:val="Table Grid"/>
    <w:basedOn w:val="Tabellanormale"/>
    <w:uiPriority w:val="59"/>
    <w:rsid w:val="00BE2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sunaspaziatura1">
    <w:name w:val="Nessuna spaziatura1"/>
    <w:rsid w:val="00224D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foelenco1">
    <w:name w:val="Paragrafo elenco1"/>
    <w:basedOn w:val="Normale"/>
    <w:rsid w:val="00C1606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itolo4Carattere">
    <w:name w:val="Titolo 4 Carattere"/>
    <w:basedOn w:val="Carpredefinitoparagrafo"/>
    <w:link w:val="Titolo4"/>
    <w:rsid w:val="00DE3B78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69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9E1"/>
  </w:style>
  <w:style w:type="paragraph" w:styleId="Pidipagina">
    <w:name w:val="footer"/>
    <w:basedOn w:val="Normale"/>
    <w:link w:val="PidipaginaCarattere"/>
    <w:unhideWhenUsed/>
    <w:rsid w:val="003D69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3D69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6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cagliero</dc:creator>
  <cp:lastModifiedBy>Administrator</cp:lastModifiedBy>
  <cp:revision>13</cp:revision>
  <cp:lastPrinted>2015-02-25T15:54:00Z</cp:lastPrinted>
  <dcterms:created xsi:type="dcterms:W3CDTF">2015-03-02T09:20:00Z</dcterms:created>
  <dcterms:modified xsi:type="dcterms:W3CDTF">2015-03-30T17:31:00Z</dcterms:modified>
</cp:coreProperties>
</file>